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15719" w14:textId="77777777" w:rsidR="0086110B" w:rsidRDefault="00C5689E">
      <w:pPr>
        <w:pStyle w:val="Body"/>
        <w:rPr>
          <w:u w:val="single"/>
        </w:rPr>
      </w:pPr>
      <w:r>
        <w:rPr>
          <w:u w:val="single"/>
        </w:rPr>
        <w:t>Supplementary Materials</w:t>
      </w:r>
    </w:p>
    <w:p w14:paraId="3851571A" w14:textId="47B325EF" w:rsidR="0086110B" w:rsidRDefault="00C5689E">
      <w:pPr>
        <w:pStyle w:val="Body"/>
      </w:pPr>
      <w:r>
        <w:t xml:space="preserve">In Section 2.1.4., we accounted for age and sex demographics via indirect standardisation, using weekly expected mortality counts. These are computed as follows. Let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n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ki</m:t>
            </m:r>
          </m:sub>
        </m:sSub>
      </m:oMath>
      <w:r>
        <w:t xml:space="preserve"> denote the number of people in LAD </w:t>
      </w:r>
      <m:oMath>
        <m:r>
          <w:rPr>
            <w:rFonts w:ascii="Cambria Math" w:hAnsi="Cambria Math"/>
            <w:sz w:val="23"/>
            <w:szCs w:val="23"/>
          </w:rPr>
          <m:t>k</m:t>
        </m:r>
      </m:oMath>
      <w:r>
        <w:t xml:space="preserve"> from age-sex group </w:t>
      </w:r>
      <m:oMath>
        <m:r>
          <w:rPr>
            <w:rFonts w:ascii="Cambria Math" w:hAnsi="Cambria Math"/>
            <w:sz w:val="30"/>
            <w:szCs w:val="30"/>
          </w:rPr>
          <m:t>i</m:t>
        </m:r>
      </m:oMath>
      <w:r>
        <w:t xml:space="preserve"> (e.g. females 0-4, fema</w:t>
      </w:r>
      <w:r>
        <w:t xml:space="preserve">les 5-9, etc.) for </w:t>
      </w:r>
      <m:oMath>
        <m:r>
          <w:rPr>
            <w:rFonts w:ascii="Cambria Math" w:hAnsi="Cambria Math"/>
            <w:sz w:val="24"/>
            <w:szCs w:val="24"/>
          </w:rPr>
          <m:t>i</m:t>
        </m:r>
        <m:r>
          <w:rPr>
            <w:rFonts w:ascii="Cambria Math" w:hAnsi="Cambria Math"/>
            <w:sz w:val="24"/>
            <w:szCs w:val="24"/>
          </w:rPr>
          <m:t>=1,…,</m:t>
        </m:r>
        <m:r>
          <w:rPr>
            <w:rFonts w:ascii="Cambria Math" w:hAnsi="Cambria Math"/>
            <w:sz w:val="24"/>
            <w:szCs w:val="24"/>
          </w:rPr>
          <m:t>G</m:t>
        </m:r>
      </m:oMath>
      <w:r>
        <w:t xml:space="preserve">, and let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t xml:space="preserve"> denote the English national rate of Covid-19 mortality per 100,000 people. The expected weekly number of mortalities in LAD </w:t>
      </w:r>
      <m:oMath>
        <m:r>
          <w:rPr>
            <w:rFonts w:ascii="Cambria Math" w:hAnsi="Cambria Math"/>
            <w:sz w:val="23"/>
            <w:szCs w:val="23"/>
          </w:rPr>
          <m:t>k</m:t>
        </m:r>
      </m:oMath>
      <w:r>
        <w:t xml:space="preserve"> can then be computed as</w:t>
      </w:r>
      <w:r>
        <w:rPr>
          <w:lang w:val="de-D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limUpp>
              <m:limUppPr>
                <m:ctrlPr>
                  <w:rPr>
                    <w:rFonts w:ascii="Cambria Math" w:hAnsi="Cambria Math"/>
                  </w:rPr>
                </m:ctrlPr>
              </m:limUp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e</m:t>
                </m:r>
              </m:e>
              <m:lim>
                <m:r>
                  <w:rPr>
                    <w:rFonts w:ascii="Cambria Math" w:hAnsi="Cambria Math"/>
                    <w:sz w:val="23"/>
                    <w:szCs w:val="23"/>
                  </w:rPr>
                  <m:t>~</m:t>
                </m:r>
              </m:lim>
            </m:limUpp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=</m:t>
        </m:r>
        <m:f>
          <m:fPr>
            <m:ctrlPr>
              <w:rPr>
                <w:rFonts w:ascii="Cambria Math" w:hAnsi="Cambria Math"/>
                <w:i/>
                <w:sz w:val="23"/>
                <w:szCs w:val="23"/>
              </w:rPr>
            </m:ctrlPr>
          </m:fPr>
          <m:num>
            <m:r>
              <w:rPr>
                <w:rFonts w:ascii="Cambria Math" w:hAnsi="Cambria Math"/>
                <w:sz w:val="23"/>
                <w:szCs w:val="23"/>
              </w:rPr>
              <m:t>1</m:t>
            </m:r>
          </m:num>
          <m:den>
            <m:r>
              <w:rPr>
                <w:rFonts w:ascii="Cambria Math" w:hAnsi="Cambria Math"/>
                <w:sz w:val="23"/>
                <w:szCs w:val="23"/>
              </w:rPr>
              <m:t>N</m:t>
            </m:r>
          </m:den>
        </m:f>
        <m:f>
          <m:fPr>
            <m:ctrlPr>
              <w:rPr>
                <w:rFonts w:ascii="Cambria Math" w:hAnsi="Cambria Math"/>
                <w:i/>
                <w:sz w:val="23"/>
                <w:szCs w:val="23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∑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3"/>
                    <w:szCs w:val="23"/>
                  </w:rPr>
                  <m:t>G</m:t>
                </m:r>
              </m:sup>
            </m:sSub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ki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3"/>
                <w:szCs w:val="23"/>
              </w:rPr>
              <m:t>100,000</m:t>
            </m:r>
          </m:den>
        </m:f>
      </m:oMath>
      <w:r>
        <w:t>, and they do not change over</w:t>
      </w:r>
      <w:r>
        <w:t xml:space="preserve"> time as time-varying data on populations or national rates at a weekly scale are not available. However, these expected counts may not be on the same scale as the weekly observed counts</w:t>
      </w:r>
      <w:r>
        <w:rPr>
          <w:lang w:val="de-D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kt</m:t>
            </m:r>
          </m:sub>
        </m:sSub>
      </m:oMath>
      <w:r>
        <w:t>, and so the expected counts are rescaled by</w:t>
      </w:r>
      <w:r>
        <w:rPr>
          <w:lang w:val="de-DE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e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limUpp>
              <m:limUppPr>
                <m:ctrlPr>
                  <w:rPr>
                    <w:rFonts w:ascii="Cambria Math" w:hAnsi="Cambria Math"/>
                  </w:rPr>
                </m:ctrlPr>
              </m:limUp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e</m:t>
                </m:r>
              </m:e>
              <m:lim>
                <m:r>
                  <w:rPr>
                    <w:rFonts w:ascii="Cambria Math" w:hAnsi="Cambria Math"/>
                    <w:sz w:val="23"/>
                    <w:szCs w:val="23"/>
                  </w:rPr>
                  <m:t>~</m:t>
                </m:r>
              </m:lim>
            </m:limUpp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f>
          <m:fPr>
            <m:ctrlPr>
              <w:rPr>
                <w:rFonts w:ascii="Cambria Math" w:hAnsi="Cambria Math"/>
                <w:i/>
                <w:sz w:val="23"/>
                <w:szCs w:val="23"/>
              </w:rPr>
            </m:ctrlPr>
          </m:fPr>
          <m:num>
            <m:nary>
              <m:naryPr>
                <m:chr m:val="∑"/>
                <m:limLoc m:val="subSup"/>
                <m:grow m:val="1"/>
                <m:supHide m:val="1"/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naryPr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,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t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t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sz w:val="23"/>
                <w:szCs w:val="23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∑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e</m:t>
                    </m:r>
                  </m:e>
                  <m:lim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~</m:t>
                    </m:r>
                  </m:lim>
                </m:limUpp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sub>
            </m:sSub>
          </m:den>
        </m:f>
      </m:oMath>
      <w:r>
        <w:t>. The rescaling ensures that</w:t>
      </w:r>
      <w:r>
        <w:rPr>
          <w:lang w:val="de-DE"/>
        </w:rPr>
        <w:t xml:space="preserve"> </w:t>
      </w:r>
      <m:oMath>
        <m:r>
          <w:rPr>
            <w:rFonts w:ascii="Cambria Math" w:hAnsi="Cambria Math"/>
            <w:sz w:val="18"/>
            <w:szCs w:val="18"/>
          </w:rPr>
          <m:t>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∑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e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k</m:t>
            </m:r>
          </m:sub>
        </m:sSub>
        <m:r>
          <w:rPr>
            <w:rFonts w:ascii="Cambria Math" w:hAnsi="Cambria Math"/>
            <w:sz w:val="18"/>
            <w:szCs w:val="18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∑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k</m:t>
            </m:r>
            <m:r>
              <w:rPr>
                <w:rFonts w:ascii="Cambria Math" w:hAnsi="Cambria Math"/>
                <w:sz w:val="18"/>
                <w:szCs w:val="18"/>
              </w:rPr>
              <m:t>,</m:t>
            </m:r>
            <m:r>
              <w:rPr>
                <w:rFonts w:ascii="Cambria Math" w:hAnsi="Cambria Math"/>
                <w:sz w:val="18"/>
                <w:szCs w:val="18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kt</m:t>
            </m:r>
          </m:sub>
        </m:sSub>
      </m:oMath>
      <w:r>
        <w:t>, so that the total of observed and expected counts over all areas and weeks are the same.</w:t>
      </w:r>
    </w:p>
    <w:p w14:paraId="3851571B" w14:textId="77777777" w:rsidR="0086110B" w:rsidRDefault="0086110B">
      <w:pPr>
        <w:pStyle w:val="Body"/>
      </w:pPr>
    </w:p>
    <w:p w14:paraId="3851571C" w14:textId="77777777" w:rsidR="0086110B" w:rsidRDefault="00C5689E">
      <w:pPr>
        <w:pStyle w:val="Body"/>
      </w:pPr>
      <w:r>
        <w:t>In Section 3.1., we have provided Geweke diagnostics to comment on the convergence of the MCMC algor</w:t>
      </w:r>
      <w:r>
        <w:t xml:space="preserve">ithm. Additionally, the following trace plots of the simulated parameter values for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β</m:t>
            </m:r>
          </m:e>
          <m:sub>
            <m:r>
              <w:rPr>
                <w:rFonts w:ascii="Cambria Math" w:hAnsi="Cambria Math"/>
                <w:sz w:val="25"/>
                <w:szCs w:val="25"/>
              </w:rPr>
              <m:t>0</m:t>
            </m:r>
          </m:sub>
        </m:sSub>
      </m:oMath>
      <w:r>
        <w:t xml:space="preserve">, ρ,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α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α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2</m:t>
            </m:r>
          </m:sub>
        </m:sSub>
      </m:oMath>
      <w:r>
        <w:t xml:space="preserve">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τ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  <w:r>
        <w:t xml:space="preserve">,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11</m:t>
            </m:r>
          </m:sub>
        </m:sSub>
      </m:oMath>
      <w:r>
        <w:t xml:space="preserve"> from the MCMC algorithm can be viewed:</w:t>
      </w:r>
    </w:p>
    <w:p w14:paraId="3851571D" w14:textId="77777777" w:rsidR="0086110B" w:rsidRDefault="00C5689E">
      <w:pPr>
        <w:pStyle w:val="Body"/>
      </w:pPr>
      <w:r>
        <w:rPr>
          <w:noProof/>
        </w:rPr>
        <w:drawing>
          <wp:inline distT="0" distB="0" distL="0" distR="0" wp14:anchorId="38515721" wp14:editId="38515722">
            <wp:extent cx="3977322" cy="3909332"/>
            <wp:effectExtent l="0" t="0" r="0" b="0"/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7322" cy="3909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851571E" w14:textId="77777777" w:rsidR="0086110B" w:rsidRDefault="00C5689E">
      <w:pPr>
        <w:pStyle w:val="Body"/>
      </w:pPr>
      <w:r>
        <w:t xml:space="preserve">Note that there are 20,904 (312 x 67) random effects, so we only present the trace plot for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φ</m:t>
            </m:r>
          </m:e>
          <m:sub>
            <m:r>
              <w:rPr>
                <w:rFonts w:ascii="Cambria Math" w:hAnsi="Cambria Math"/>
                <w:sz w:val="25"/>
                <w:szCs w:val="25"/>
              </w:rPr>
              <m:t>11</m:t>
            </m:r>
          </m:sub>
        </m:sSub>
      </m:oMath>
      <w:r>
        <w:t xml:space="preserve"> here.</w:t>
      </w:r>
      <w:r>
        <w:br/>
      </w:r>
      <w:r>
        <w:t xml:space="preserve">The algorithm </w:t>
      </w:r>
      <w:r>
        <w:rPr>
          <w:lang w:val="de-DE"/>
        </w:rPr>
        <w:t>is slower</w:t>
      </w:r>
      <w:r>
        <w:t xml:space="preserve"> to explore the parameter spaces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φ</m:t>
            </m:r>
          </m:e>
          <m:sub>
            <m:r>
              <w:rPr>
                <w:rFonts w:ascii="Cambria Math" w:hAnsi="Cambria Math"/>
                <w:sz w:val="25"/>
                <w:szCs w:val="25"/>
              </w:rPr>
              <m:t>11</m:t>
            </m:r>
          </m:sub>
        </m:sSub>
      </m:oMath>
      <w:r>
        <w:t xml:space="preserve"> but none of the six plots shows any pattern that provides strong evidence against convergence.</w:t>
      </w:r>
    </w:p>
    <w:p w14:paraId="3851571F" w14:textId="77777777" w:rsidR="0086110B" w:rsidRDefault="00C5689E">
      <w:pPr>
        <w:pStyle w:val="Body"/>
      </w:pPr>
      <w:r>
        <w:lastRenderedPageBreak/>
        <w:t>Section 3.3. looked at regional differences in temporal trends in mortality risks i</w:t>
      </w:r>
      <w:r>
        <w:t>n England. The regions we are referring to are presented on the map below. The lines within the regions show the LAD borders.</w:t>
      </w:r>
      <w:r>
        <w:br/>
      </w:r>
      <w:r>
        <w:rPr>
          <w:noProof/>
        </w:rPr>
        <w:drawing>
          <wp:inline distT="0" distB="0" distL="0" distR="0" wp14:anchorId="38515723" wp14:editId="38515724">
            <wp:extent cx="3953396" cy="3872972"/>
            <wp:effectExtent l="0" t="0" r="0" b="0"/>
            <wp:docPr id="1073741826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4" descr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3396" cy="38729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8515720" w14:textId="77777777" w:rsidR="0086110B" w:rsidRDefault="00C5689E">
      <w:pPr>
        <w:pStyle w:val="Body"/>
      </w:pPr>
      <w:r>
        <w:t>Section 3.4. identified LADs with similar temporal trends in mortality risks using the k-means algorithm. We confirmed that clus</w:t>
      </w:r>
      <w:r>
        <w:t>tering is meaningful for our data by checking the within-cluster sum of squares plots that showed a substantial drop when moving from one cluster to two clusters. We chose the optimal number of clusters by checking the average silhouette plots, which showe</w:t>
      </w:r>
      <w:r>
        <w:t>d that the average silhouette width was the largest for 2 clusters in lockdowns 1 and 3. The plots are provided below:</w:t>
      </w:r>
      <w:r>
        <w:br/>
      </w:r>
      <w:r>
        <w:rPr>
          <w:noProof/>
        </w:rPr>
        <w:drawing>
          <wp:inline distT="0" distB="0" distL="0" distR="0" wp14:anchorId="38515725" wp14:editId="38515726">
            <wp:extent cx="4711540" cy="2904443"/>
            <wp:effectExtent l="0" t="0" r="0" b="0"/>
            <wp:docPr id="1073741827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3" descr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540" cy="29044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86110B">
      <w:headerReference w:type="default" r:id="rId9"/>
      <w:footerReference w:type="default" r:id="rId10"/>
      <w:pgSz w:w="12240" w:h="15840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1572D" w14:textId="77777777" w:rsidR="00000000" w:rsidRDefault="00C5689E">
      <w:r>
        <w:separator/>
      </w:r>
    </w:p>
  </w:endnote>
  <w:endnote w:type="continuationSeparator" w:id="0">
    <w:p w14:paraId="3851572F" w14:textId="77777777" w:rsidR="00000000" w:rsidRDefault="00C568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15728" w14:textId="77777777" w:rsidR="0086110B" w:rsidRDefault="0086110B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15729" w14:textId="77777777" w:rsidR="00000000" w:rsidRDefault="00C5689E">
      <w:r>
        <w:separator/>
      </w:r>
    </w:p>
  </w:footnote>
  <w:footnote w:type="continuationSeparator" w:id="0">
    <w:p w14:paraId="3851572B" w14:textId="77777777" w:rsidR="00000000" w:rsidRDefault="00C568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15727" w14:textId="77777777" w:rsidR="0086110B" w:rsidRDefault="0086110B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10B"/>
    <w:rsid w:val="0086110B"/>
    <w:rsid w:val="00A82B63"/>
    <w:rsid w:val="00C5689E"/>
    <w:rsid w:val="00DC3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15719"/>
  <w15:docId w15:val="{DDFE338B-FA3D-43B2-919E-C014A2DB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n-US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340</Words>
  <Characters>1943</Characters>
  <Application>Microsoft Office Word</Application>
  <DocSecurity>0</DocSecurity>
  <Lines>16</Lines>
  <Paragraphs>4</Paragraphs>
  <ScaleCrop>false</ScaleCrop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Robin Muegge</cp:lastModifiedBy>
  <cp:revision>2</cp:revision>
  <dcterms:created xsi:type="dcterms:W3CDTF">2022-04-14T10:02:00Z</dcterms:created>
  <dcterms:modified xsi:type="dcterms:W3CDTF">2022-04-14T10:02:00Z</dcterms:modified>
</cp:coreProperties>
</file>