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CABD" w14:textId="7767C2C3" w:rsidR="00D85E3D" w:rsidRPr="009D3619" w:rsidRDefault="009D3619">
      <w:pPr>
        <w:rPr>
          <w:u w:val="single"/>
        </w:rPr>
      </w:pPr>
      <w:r w:rsidRPr="009D3619">
        <w:rPr>
          <w:u w:val="single"/>
        </w:rPr>
        <w:t>Supplementary Materials</w:t>
      </w:r>
    </w:p>
    <w:p w14:paraId="5365C250" w14:textId="3042F6A4" w:rsidR="009D3619" w:rsidRDefault="003A1EBB">
      <w:r>
        <w:t>In Section 3.1.</w:t>
      </w:r>
      <w:r w:rsidR="002876BD">
        <w:t>, w</w:t>
      </w:r>
      <w:r w:rsidR="009D3619">
        <w:t xml:space="preserve">e have provided </w:t>
      </w:r>
      <w:proofErr w:type="spellStart"/>
      <w:r w:rsidR="009D3619">
        <w:t>Geweke</w:t>
      </w:r>
      <w:proofErr w:type="spellEnd"/>
      <w:r w:rsidR="009D3619">
        <w:t xml:space="preserve"> diagnostics</w:t>
      </w:r>
      <w:r w:rsidR="002876BD">
        <w:t xml:space="preserve"> to </w:t>
      </w:r>
      <w:r w:rsidR="003466FF">
        <w:t xml:space="preserve">comment on </w:t>
      </w:r>
      <w:r w:rsidR="002876BD">
        <w:t>the convergence of the MCMC algorithm</w:t>
      </w:r>
      <w:r w:rsidR="009D3619">
        <w:t>. Additionally, the following trace plots of the simulated parameter values</w:t>
      </w:r>
      <w:r w:rsidR="003466FF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466FF">
        <w:rPr>
          <w:rFonts w:eastAsiaTheme="minorEastAsia"/>
        </w:rPr>
        <w:t xml:space="preserve">, </w:t>
      </w:r>
      <w:r w:rsidR="003466FF">
        <w:rPr>
          <w:rFonts w:eastAsiaTheme="minorEastAsia" w:cstheme="minorHAnsi"/>
        </w:rPr>
        <w:t>ρ</w:t>
      </w:r>
      <w:r w:rsidR="003466F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466F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66FF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466FF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466FF">
        <w:rPr>
          <w:rFonts w:eastAsiaTheme="minorEastAsia"/>
        </w:rPr>
        <w:t xml:space="preserve"> </w:t>
      </w:r>
      <w:r w:rsidR="009D3619">
        <w:t>from the MCMC algorithm can be viewed:</w:t>
      </w:r>
    </w:p>
    <w:p w14:paraId="7F383029" w14:textId="1A780963" w:rsidR="009D3619" w:rsidRDefault="002876BD">
      <w:r>
        <w:rPr>
          <w:noProof/>
        </w:rPr>
        <w:drawing>
          <wp:inline distT="0" distB="0" distL="0" distR="0" wp14:anchorId="64016D24" wp14:editId="083B49F9">
            <wp:extent cx="3048000" cy="299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86" cy="300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0066" w14:textId="222F0762" w:rsidR="006B77A1" w:rsidRDefault="002876BD">
      <w:pPr>
        <w:rPr>
          <w:rFonts w:eastAsiaTheme="minorEastAsia"/>
        </w:rPr>
      </w:pPr>
      <w:r>
        <w:t>Note that there are 20,904 (312 x 67) random effects</w:t>
      </w:r>
      <w:r w:rsidR="006B77A1">
        <w:t>,</w:t>
      </w:r>
      <w:r>
        <w:t xml:space="preserve"> </w:t>
      </w:r>
      <w:r w:rsidR="006B77A1">
        <w:t>so we</w:t>
      </w:r>
      <w:r>
        <w:t xml:space="preserve"> only</w:t>
      </w:r>
      <w:r w:rsidR="006B77A1">
        <w:t xml:space="preserve"> present the trace plot for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6B77A1">
        <w:rPr>
          <w:rFonts w:eastAsiaTheme="minorEastAsia"/>
        </w:rPr>
        <w:t xml:space="preserve"> here.</w:t>
      </w:r>
      <w:r w:rsidR="006B77A1">
        <w:rPr>
          <w:rFonts w:eastAsiaTheme="minorEastAsia"/>
        </w:rPr>
        <w:br/>
        <w:t xml:space="preserve">The algorithm takes longer to explore the parameter spaces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B77A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6B77A1">
        <w:rPr>
          <w:rFonts w:eastAsiaTheme="minorEastAsia"/>
        </w:rPr>
        <w:t xml:space="preserve"> but none of the </w:t>
      </w:r>
      <w:r w:rsidR="003466FF">
        <w:rPr>
          <w:rFonts w:eastAsiaTheme="minorEastAsia"/>
        </w:rPr>
        <w:t xml:space="preserve">six </w:t>
      </w:r>
      <w:r w:rsidR="006B77A1">
        <w:rPr>
          <w:rFonts w:eastAsiaTheme="minorEastAsia"/>
        </w:rPr>
        <w:t xml:space="preserve">plots shows any pattern </w:t>
      </w:r>
      <w:r w:rsidR="003466FF">
        <w:rPr>
          <w:rFonts w:eastAsiaTheme="minorEastAsia"/>
        </w:rPr>
        <w:t>that provides strong evidence against convergence.</w:t>
      </w:r>
    </w:p>
    <w:p w14:paraId="7D4266AE" w14:textId="187C05C9" w:rsidR="003466FF" w:rsidRDefault="000F3268" w:rsidP="000F3268">
      <w:pPr>
        <w:rPr>
          <w:rFonts w:eastAsiaTheme="minorEastAsia"/>
        </w:rPr>
      </w:pPr>
      <w:r>
        <w:rPr>
          <w:rFonts w:eastAsiaTheme="minorEastAsia"/>
        </w:rPr>
        <w:t xml:space="preserve">Section </w:t>
      </w:r>
      <w:r w:rsidR="003A1EBB">
        <w:rPr>
          <w:rFonts w:eastAsiaTheme="minorEastAsia"/>
        </w:rPr>
        <w:t>3.3.</w:t>
      </w:r>
      <w:r>
        <w:rPr>
          <w:rFonts w:eastAsiaTheme="minorEastAsia"/>
        </w:rPr>
        <w:t xml:space="preserve"> looked at regional differences in </w:t>
      </w:r>
      <w:r w:rsidRPr="000F3268">
        <w:rPr>
          <w:rFonts w:eastAsiaTheme="minorEastAsia"/>
        </w:rPr>
        <w:t>temporal trends in mortality risks in England</w:t>
      </w:r>
      <w:r>
        <w:rPr>
          <w:rFonts w:eastAsiaTheme="minorEastAsia"/>
        </w:rPr>
        <w:t>. The regions we are referring to are presented on the map below:</w:t>
      </w: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7DED2608" wp14:editId="5E851DDC">
            <wp:extent cx="3003550" cy="294244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34" cy="30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A3C9" w14:textId="0859A617" w:rsidR="003A1EBB" w:rsidRDefault="003A1EBB" w:rsidP="000F3268">
      <w:pPr>
        <w:rPr>
          <w:rFonts w:eastAsiaTheme="minorEastAsia"/>
        </w:rPr>
      </w:pPr>
      <w:r>
        <w:rPr>
          <w:rFonts w:eastAsiaTheme="minorEastAsia"/>
        </w:rPr>
        <w:lastRenderedPageBreak/>
        <w:t>Section 3.4. identified LADs with</w:t>
      </w:r>
      <w:r w:rsidRPr="003A1EBB">
        <w:rPr>
          <w:rFonts w:eastAsiaTheme="minorEastAsia"/>
        </w:rPr>
        <w:t xml:space="preserve"> similar temporal trends in mortality risk</w:t>
      </w:r>
      <w:r>
        <w:rPr>
          <w:rFonts w:eastAsiaTheme="minorEastAsia"/>
        </w:rPr>
        <w:t xml:space="preserve">s using the k-means algorithm. We </w:t>
      </w:r>
      <w:r w:rsidR="007B4162">
        <w:rPr>
          <w:rFonts w:eastAsiaTheme="minorEastAsia"/>
        </w:rPr>
        <w:t xml:space="preserve">confirmed that clustering is meaningful for our data by checking the within-cluster sum of squares </w:t>
      </w:r>
      <w:r w:rsidR="00926FEC">
        <w:rPr>
          <w:rFonts w:eastAsiaTheme="minorEastAsia"/>
        </w:rPr>
        <w:t xml:space="preserve">plots </w:t>
      </w:r>
      <w:r w:rsidR="007B4162">
        <w:rPr>
          <w:rFonts w:eastAsiaTheme="minorEastAsia"/>
        </w:rPr>
        <w:t>that showed a substantial drop when moving from</w:t>
      </w:r>
      <w:r>
        <w:rPr>
          <w:rFonts w:eastAsiaTheme="minorEastAsia"/>
        </w:rPr>
        <w:t xml:space="preserve"> </w:t>
      </w:r>
      <w:r w:rsidR="00926FEC">
        <w:rPr>
          <w:rFonts w:eastAsiaTheme="minorEastAsia"/>
        </w:rPr>
        <w:t>one cluster to two clusters. We chose the optimal number of clusters by checking the average silhouette plots</w:t>
      </w:r>
      <w:r w:rsidR="00926FEC" w:rsidRPr="00926FEC">
        <w:rPr>
          <w:rFonts w:eastAsiaTheme="minorEastAsia"/>
        </w:rPr>
        <w:t xml:space="preserve">, which showed that the average silhouette width was the largest for 2 clusters in </w:t>
      </w:r>
      <w:r w:rsidR="00926FEC">
        <w:rPr>
          <w:rFonts w:eastAsiaTheme="minorEastAsia"/>
        </w:rPr>
        <w:t>lockdowns 1 and 3. The plots are provided below:</w:t>
      </w:r>
      <w:r w:rsidR="00926FEC">
        <w:rPr>
          <w:rFonts w:eastAsiaTheme="minorEastAsia"/>
        </w:rPr>
        <w:br/>
      </w:r>
      <w:r w:rsidR="00926FEC">
        <w:rPr>
          <w:rFonts w:eastAsiaTheme="minorEastAsia"/>
          <w:noProof/>
        </w:rPr>
        <w:drawing>
          <wp:inline distT="0" distB="0" distL="0" distR="0" wp14:anchorId="67ACB082" wp14:editId="78BC1EFC">
            <wp:extent cx="345079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89" cy="212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E991" w14:textId="56363898" w:rsidR="002876BD" w:rsidRDefault="006B77A1">
      <w:r>
        <w:rPr>
          <w:rFonts w:eastAsiaTheme="minorEastAsia"/>
        </w:rPr>
        <w:t xml:space="preserve"> </w:t>
      </w:r>
    </w:p>
    <w:sectPr w:rsidR="00287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19"/>
    <w:rsid w:val="000F3268"/>
    <w:rsid w:val="002876BD"/>
    <w:rsid w:val="003466FF"/>
    <w:rsid w:val="003A1EBB"/>
    <w:rsid w:val="00475F4D"/>
    <w:rsid w:val="006B77A1"/>
    <w:rsid w:val="007B4162"/>
    <w:rsid w:val="00926FEC"/>
    <w:rsid w:val="009D3619"/>
    <w:rsid w:val="00B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179D"/>
  <w15:chartTrackingRefBased/>
  <w15:docId w15:val="{4AF038FA-B8D9-4EF6-B7BA-ED2F094F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Muegge</dc:creator>
  <cp:keywords/>
  <dc:description/>
  <cp:lastModifiedBy>Robin Muegge</cp:lastModifiedBy>
  <cp:revision>1</cp:revision>
  <dcterms:created xsi:type="dcterms:W3CDTF">2022-04-13T07:15:00Z</dcterms:created>
  <dcterms:modified xsi:type="dcterms:W3CDTF">2022-04-13T07:55:00Z</dcterms:modified>
</cp:coreProperties>
</file>