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Evaluating K-Nearest Neighbors and Radius Neighbors Classifiers on the Wine Dataset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Ruchitha Musku</w:t>
      </w:r>
    </w:p>
    <w:p>
      <w:pPr>
        <w:spacing w:after="0" w:before="0" w:line="480" w:lineRule="auto"/>
        <w:jc w:val="center"/>
      </w:pPr>
      <w:r>
        <w:rPr>
          <w:rFonts w:ascii="Times New Roman" w:cs="Times New Roman" w:eastAsia="Times New Roman" w:hAnsi="Times New Roman"/>
          <w:sz w:val="24"/>
          <w:szCs w:val="24"/>
        </w:rPr>
        <w:t xml:space="preserve">University of the Cumberlands</w:t>
      </w:r>
    </w:p>
    <w:p>
      <w:pPr>
        <w:spacing w:after="0" w:before="0" w:line="480" w:lineRule="auto"/>
        <w:jc w:val="center"/>
      </w:pPr>
      <w:r>
        <w:rPr>
          <w:rFonts w:ascii="Times New Roman" w:cs="Times New Roman" w:eastAsia="Times New Roman" w:hAnsi="Times New Roman"/>
          <w:sz w:val="24"/>
          <w:szCs w:val="24"/>
        </w:rPr>
        <w:t xml:space="preserve">MSCS-634-M50: Advanced Big Data and Data Mining</w:t>
      </w:r>
    </w:p>
    <w:p>
      <w:pPr>
        <w:spacing w:after="0" w:before="0" w:line="480" w:lineRule="auto"/>
        <w:jc w:val="center"/>
      </w:pPr>
      <w:r>
        <w:rPr>
          <w:rFonts w:ascii="Times New Roman" w:cs="Times New Roman" w:eastAsia="Times New Roman" w:hAnsi="Times New Roman"/>
          <w:sz w:val="24"/>
          <w:szCs w:val="24"/>
        </w:rPr>
        <w:t xml:space="preserve">Professor Satish Penmatsa</w:t>
      </w:r>
    </w:p>
    <w:p>
      <w:pPr>
        <w:spacing w:after="0" w:before="0" w:line="480" w:lineRule="auto"/>
        <w:jc w:val="center"/>
      </w:pPr>
      <w:r>
        <w:rPr>
          <w:rFonts w:ascii="Times New Roman" w:cs="Times New Roman" w:eastAsia="Times New Roman" w:hAnsi="Times New Roman"/>
          <w:sz w:val="24"/>
          <w:szCs w:val="24"/>
        </w:rPr>
        <w:t xml:space="preserve">September 27, 2026</w:t>
      </w:r>
    </w:p>
    <w:p>
      <w:r>
        <w:br w:type="page"/>
      </w:r>
    </w:p>
    <w:p>
      <w:pPr>
        <w:spacing w:after="0" w:before="0" w:line="480" w:lineRule="auto"/>
        <w:jc w:val="center"/>
      </w:pPr>
      <w:r>
        <w:rPr>
          <w:rFonts w:ascii="Times New Roman" w:cs="Times New Roman" w:eastAsia="Times New Roman" w:hAnsi="Times New Roman"/>
          <w:b/>
          <w:bCs/>
          <w:sz w:val="24"/>
          <w:szCs w:val="24"/>
        </w:rPr>
        <w:t xml:space="preserve">Evaluating K-Nearest Neighbors and Radius Neighbors Classifiers on the Wine Dataset</w:t>
      </w:r>
    </w:p>
    <w:p>
      <w:pPr>
        <w:spacing w:after="0" w:before="0" w:line="480" w:lineRule="auto"/>
        <w:ind w:firstLine="720"/>
      </w:pPr>
      <w:r>
        <w:rPr>
          <w:rFonts w:ascii="Times New Roman" w:cs="Times New Roman" w:eastAsia="Times New Roman" w:hAnsi="Times New Roman"/>
          <w:sz w:val="24"/>
          <w:szCs w:val="24"/>
        </w:rPr>
        <w:t xml:space="preserve">Instance-based learning methods classify a new observation by comparing it directly with stored training examples rather than by building an explicit model of the data (Han et al., 2023). The K-Nearest Neighbors (KNN) classifier, formalized by Cover and Hart (1967), assigns a test point to the majority class among its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closest training points. The Radius Neighbors classifier, referred to in this report as RNN, instead uses every training point that lies within a fixed distance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of the test point (scikit-learn developers, n.d.). Both methods rely on a single neighborhood hyperparameter, and a poor choice of that value can cause a model to overfit noise or to smooth away meaningful class structure.</w:t>
      </w:r>
    </w:p>
    <w:p>
      <w:pPr>
        <w:spacing w:after="0" w:before="0" w:line="480" w:lineRule="auto"/>
        <w:ind w:firstLine="720"/>
      </w:pPr>
      <w:r>
        <w:rPr>
          <w:rFonts w:ascii="Times New Roman" w:cs="Times New Roman" w:eastAsia="Times New Roman" w:hAnsi="Times New Roman"/>
          <w:sz w:val="24"/>
          <w:szCs w:val="24"/>
        </w:rPr>
        <w:t xml:space="preserve">The purpose of this lab was to examine how the choice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affects classification accuracy on the Wine dataset (Aeberhard &amp; Forina, 1991). KNN was evaluated 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5, 11, 15, and 21, and RNN was evaluated with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350, 400, 450, 500, 550, and 600. Test-set accuracy was recorded for each setting, the accuracy trends were visualized, and the two models were compared to identify the conditions under which each approach is preferable. The Jupyter Notebook, figures, and README file for this work are available in the project repository (Musku, 2026).</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Method</w:t>
      </w:r>
    </w:p>
    <w:p>
      <w:pPr>
        <w:pStyle w:val="Heading2"/>
        <w:spacing w:after="0" w:before="0" w:line="480" w:lineRule="auto"/>
      </w:pPr>
      <w:r>
        <w:rPr>
          <w:rFonts w:ascii="Times New Roman" w:cs="Times New Roman" w:eastAsia="Times New Roman" w:hAnsi="Times New Roman"/>
          <w:b/>
          <w:bCs/>
          <w:color w:val="000000"/>
          <w:sz w:val="24"/>
          <w:szCs w:val="24"/>
        </w:rPr>
        <w:t xml:space="preserve">Dataset</w:t>
      </w:r>
    </w:p>
    <w:p>
      <w:pPr>
        <w:spacing w:after="0" w:before="0" w:line="480" w:lineRule="auto"/>
        <w:ind w:firstLine="720"/>
      </w:pPr>
      <w:r>
        <w:rPr>
          <w:rFonts w:ascii="Times New Roman" w:cs="Times New Roman" w:eastAsia="Times New Roman" w:hAnsi="Times New Roman"/>
          <w:sz w:val="24"/>
          <w:szCs w:val="24"/>
        </w:rPr>
        <w:t xml:space="preserve">The Wine dataset was loaded from the scikit-learn library (Pedregosa et al., 2011); it originates from the UCI Machine Learning Repository (Aeberhard &amp; Forina, 1991). It contains 178 samples of wine grown in the same region of Italy and derived from three different cultivars. Each sample is described by 13 continuous features obtained through chemical analysis, including alcohol, malic acid, flavanoids, color intensity, hue, magnesium, and proline. Exploration showed that the dataset has no missing values and that the three classes are moderately balanced, with 59 samples in class_0, 71 in class_1, and 48 in class_2 (see Figure 1). Because no class is heavily under-represented, accuracy was considered a reasonable evaluation metric.</w:t>
      </w:r>
    </w:p>
    <w:p>
      <w:pPr>
        <w:keepNext/>
        <w:spacing w:after="0" w:before="0" w:line="480" w:lineRule="auto"/>
      </w:pPr>
      <w:r>
        <w:rPr>
          <w:rFonts w:ascii="Times New Roman" w:cs="Times New Roman" w:eastAsia="Times New Roman" w:hAnsi="Times New Roman"/>
          <w:b/>
          <w:bCs/>
          <w:sz w:val="24"/>
          <w:szCs w:val="24"/>
        </w:rPr>
        <w:t xml:space="preserve">Figure 1</w:t>
      </w:r>
    </w:p>
    <w:p>
      <w:pPr>
        <w:keepNext/>
        <w:spacing w:after="0" w:before="0" w:line="480" w:lineRule="auto"/>
      </w:pPr>
      <w:r>
        <w:rPr>
          <w:rFonts w:ascii="Times New Roman" w:cs="Times New Roman" w:eastAsia="Times New Roman" w:hAnsi="Times New Roman"/>
          <w:i/>
          <w:iCs/>
          <w:sz w:val="24"/>
          <w:szCs w:val="24"/>
        </w:rPr>
        <w:t xml:space="preserve">Class Distribution in the Wine Dataset</w:t>
      </w:r>
    </w:p>
    <w:p>
      <w:pPr>
        <w:keepNext/>
        <w:spacing w:after="0" w:before="0" w:line="240" w:lineRule="auto"/>
        <w:jc w:val="center"/>
      </w:pPr>
      <w:r>
        <w:drawing>
          <wp:inline distT="0" distB="0" distL="0" distR="0">
            <wp:extent cx="3840480" cy="2867025"/>
            <wp:effectExtent t="0" r="0" b="0" l="0"/>
            <wp:docPr id="1" name="fig1" descr="Class Distribution in the Wine Datas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40480" cy="2867025"/>
                    </a:xfrm>
                    <a:prstGeom prst="rect">
                      <a:avLst/>
                    </a:prstGeom>
                  </pic:spPr>
                </pic:pic>
              </a:graphicData>
            </a:graphic>
          </wp:inline>
        </w:drawing>
      </w:r>
    </w:p>
    <w:p>
      <w:pPr>
        <w:spacing w:after="0" w:before="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Counts are for the full dataset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178) before the train–test split.</w:t>
      </w:r>
    </w:p>
    <w:p>
      <w:pPr>
        <w:spacing w:after="0" w:before="0" w:line="480" w:lineRule="auto"/>
        <w:ind w:firstLine="720"/>
      </w:pPr>
      <w:r>
        <w:rPr>
          <w:rFonts w:ascii="Times New Roman" w:cs="Times New Roman" w:eastAsia="Times New Roman" w:hAnsi="Times New Roman"/>
          <w:sz w:val="24"/>
          <w:szCs w:val="24"/>
        </w:rPr>
        <w:t xml:space="preserve">Descriptive statistics revealed that the features are measured on very different scales. Proline ranges from 278 to 1,680 and magnesium ranges from 70 to 162, whereas hue ranges from 0.48 to 1.71 and nonflavanoid phenols range from 0.13 to 0.66. Because both classifiers rely on Euclidean distance, distances computed on the raw features are dominated by proline. This observation proved central to interpreting the results.</w:t>
      </w:r>
    </w:p>
    <w:p>
      <w:pPr>
        <w:pStyle w:val="Heading2"/>
        <w:spacing w:after="0" w:before="0" w:line="480" w:lineRule="auto"/>
      </w:pPr>
      <w:r>
        <w:rPr>
          <w:rFonts w:ascii="Times New Roman" w:cs="Times New Roman" w:eastAsia="Times New Roman" w:hAnsi="Times New Roman"/>
          <w:b/>
          <w:bCs/>
          <w:color w:val="000000"/>
          <w:sz w:val="24"/>
          <w:szCs w:val="24"/>
        </w:rPr>
        <w:t xml:space="preserve">Data Preparation</w:t>
      </w:r>
    </w:p>
    <w:p>
      <w:pPr>
        <w:spacing w:after="0" w:before="0" w:line="480" w:lineRule="auto"/>
        <w:ind w:firstLine="720"/>
      </w:pPr>
      <w:r>
        <w:rPr>
          <w:rFonts w:ascii="Times New Roman" w:cs="Times New Roman" w:eastAsia="Times New Roman" w:hAnsi="Times New Roman"/>
          <w:sz w:val="24"/>
          <w:szCs w:val="24"/>
        </w:rPr>
        <w:t xml:space="preserve">The data were divided into a training set (80%,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142) and a test set (20%,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36) using a stratified split so that each class kept the same proportion in both sets. A fixed random seed (random_state = 42) was used so that the results can be reproduced. The features were not standardized for the main experiments. The radius values specified for the lab (350 to 600) correspond to the scale of distances between raw, unscaled observations; after standardization, every training point would fall inside a radius of 350, which would make the radius comparison meaningless. A supplementary KNN experiment on standardized features was conducted separately to show the effect of scaling.</w:t>
      </w:r>
    </w:p>
    <w:p>
      <w:pPr>
        <w:pStyle w:val="Heading2"/>
        <w:spacing w:after="0" w:before="0" w:line="480" w:lineRule="auto"/>
      </w:pPr>
      <w:r>
        <w:rPr>
          <w:rFonts w:ascii="Times New Roman" w:cs="Times New Roman" w:eastAsia="Times New Roman" w:hAnsi="Times New Roman"/>
          <w:b/>
          <w:bCs/>
          <w:color w:val="000000"/>
          <w:sz w:val="24"/>
          <w:szCs w:val="24"/>
        </w:rPr>
        <w:t xml:space="preserve">Model Implementation and Evaluation</w:t>
      </w:r>
    </w:p>
    <w:p>
      <w:pPr>
        <w:spacing w:after="0" w:before="0" w:line="480" w:lineRule="auto"/>
        <w:ind w:firstLine="720"/>
      </w:pPr>
      <w:r>
        <w:rPr>
          <w:rFonts w:ascii="Times New Roman" w:cs="Times New Roman" w:eastAsia="Times New Roman" w:hAnsi="Times New Roman"/>
          <w:sz w:val="24"/>
          <w:szCs w:val="24"/>
        </w:rPr>
        <w:t xml:space="preserve">All analyses were performed in Python using scikit-learn (Pedregosa et al., 2011), pandas, NumPy, and Matplotlib (Hunter, 2007). The KNN models used the KNeighborsClassifier class with its default Euclidean distance and uniform neighbor weights. The RNN models used the RadiusNeighborsClassifier class. The parameter outlier_label = "most_frequent" was set as a safeguard, because the classifier otherwise raises an error when a test point has no training points inside the radius. For each RNN setting, the minimum, mean, and maximum number of training points falling inside the radius were also recorded to help explain the results. Each model was trained on the training set and evaluated on the test set, and accuracy was calculated as the proportion of test samples classified correctly.</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Results</w:t>
      </w:r>
    </w:p>
    <w:p>
      <w:pPr>
        <w:pStyle w:val="Heading2"/>
        <w:spacing w:after="0" w:before="0" w:line="480" w:lineRule="auto"/>
      </w:pPr>
      <w:r>
        <w:rPr>
          <w:rFonts w:ascii="Times New Roman" w:cs="Times New Roman" w:eastAsia="Times New Roman" w:hAnsi="Times New Roman"/>
          <w:b/>
          <w:bCs/>
          <w:color w:val="000000"/>
          <w:sz w:val="24"/>
          <w:szCs w:val="24"/>
        </w:rPr>
        <w:t xml:space="preserve">K-Nearest Neighbors</w:t>
      </w:r>
    </w:p>
    <w:p>
      <w:pPr>
        <w:spacing w:after="0" w:before="0" w:line="480" w:lineRule="auto"/>
        <w:ind w:firstLine="720"/>
      </w:pPr>
      <w:r>
        <w:rPr>
          <w:rFonts w:ascii="Times New Roman" w:cs="Times New Roman" w:eastAsia="Times New Roman" w:hAnsi="Times New Roman"/>
          <w:sz w:val="24"/>
          <w:szCs w:val="24"/>
        </w:rPr>
        <w:t xml:space="preserve">Table 1 and Figure 2 present the KNN results. Accuracy was lowest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(.778; 28 of 36 test samples correct). It rose to .806 (29 of 36 correct)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5 and remained at that level for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11, 15, and 21. Therefore, beyond a small value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KNN performance was stable and insensitive to the exact number of neighbors.</w:t>
      </w:r>
    </w:p>
    <w:p>
      <w:pPr>
        <w:keepNext/>
        <w:spacing w:after="0" w:before="0" w:line="480" w:lineRule="auto"/>
      </w:pPr>
      <w:r>
        <w:rPr>
          <w:rFonts w:ascii="Times New Roman" w:cs="Times New Roman" w:eastAsia="Times New Roman" w:hAnsi="Times New Roman"/>
          <w:b/>
          <w:bCs/>
          <w:sz w:val="24"/>
          <w:szCs w:val="24"/>
        </w:rPr>
        <w:t xml:space="preserve">Table 1</w:t>
      </w:r>
    </w:p>
    <w:p>
      <w:pPr>
        <w:keepNext/>
        <w:spacing w:after="0" w:before="0" w:line="480" w:lineRule="auto"/>
      </w:pPr>
      <w:r>
        <w:rPr>
          <w:rFonts w:ascii="Times New Roman" w:cs="Times New Roman" w:eastAsia="Times New Roman" w:hAnsi="Times New Roman"/>
          <w:i/>
          <w:iCs/>
          <w:sz w:val="24"/>
          <w:szCs w:val="24"/>
        </w:rPr>
        <w:t xml:space="preserve">KNN Test Accuracy by Number of Neighbors</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400"/>
        <w:gridCol w:w="3600"/>
      </w:tblGrid>
      <w:tr>
        <w:trPr>
          <w:tblHeader/>
        </w:trPr>
        <w:tc>
          <w:tcPr>
            <w:tcW w:type="dxa" w:w="18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i/>
                <w:iCs/>
                <w:sz w:val="24"/>
                <w:szCs w:val="24"/>
              </w:rPr>
              <w:t xml:space="preserve">k</w:t>
            </w:r>
          </w:p>
        </w:tc>
        <w:tc>
          <w:tcPr>
            <w:tcW w:type="dxa" w:w="24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Accuracy</w:t>
            </w:r>
          </w:p>
        </w:tc>
        <w:tc>
          <w:tcPr>
            <w:tcW w:type="dxa" w:w="36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Correct predictions (of 36)</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1</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.778</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28</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5</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.806</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29</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11</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.806</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29</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15</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.806</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29</w:t>
            </w:r>
          </w:p>
        </w:tc>
      </w:tr>
      <w:tr>
        <w:tc>
          <w:tcPr>
            <w:tcW w:type="dxa" w:w="18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21</w:t>
            </w:r>
          </w:p>
        </w:tc>
        <w:tc>
          <w:tcPr>
            <w:tcW w:type="dxa" w:w="24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.806</w:t>
            </w:r>
          </w:p>
        </w:tc>
        <w:tc>
          <w:tcPr>
            <w:tcW w:type="dxa" w:w="36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29</w:t>
            </w:r>
          </w:p>
        </w:tc>
      </w:tr>
    </w:tbl>
    <w:p>
      <w:pPr>
        <w:spacing w:after="0" w:before="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Features were unscaled. Accuracy is the proportion of the 36 test samples classified correctly.</w:t>
      </w:r>
    </w:p>
    <w:p>
      <w:pPr>
        <w:keepNext/>
        <w:spacing w:after="0" w:before="0" w:line="480" w:lineRule="auto"/>
      </w:pPr>
      <w:r>
        <w:rPr>
          <w:rFonts w:ascii="Times New Roman" w:cs="Times New Roman" w:eastAsia="Times New Roman" w:hAnsi="Times New Roman"/>
          <w:b/>
          <w:bCs/>
          <w:sz w:val="24"/>
          <w:szCs w:val="24"/>
        </w:rPr>
        <w:t xml:space="preserve">Figure 2</w:t>
      </w:r>
    </w:p>
    <w:p>
      <w:pPr>
        <w:keepNext/>
        <w:spacing w:after="0" w:before="0" w:line="480" w:lineRule="auto"/>
      </w:pPr>
      <w:r>
        <w:rPr>
          <w:rFonts w:ascii="Times New Roman" w:cs="Times New Roman" w:eastAsia="Times New Roman" w:hAnsi="Times New Roman"/>
          <w:i/>
          <w:iCs/>
          <w:sz w:val="24"/>
          <w:szCs w:val="24"/>
        </w:rPr>
        <w:t xml:space="preserve">KNN Test Accuracy Across Values of k</w:t>
      </w:r>
    </w:p>
    <w:p>
      <w:pPr>
        <w:keepNext w:val="false"/>
        <w:spacing w:after="0" w:before="0" w:line="240" w:lineRule="auto"/>
        <w:jc w:val="center"/>
      </w:pPr>
      <w:r>
        <w:drawing>
          <wp:inline distT="0" distB="0" distL="0" distR="0">
            <wp:extent cx="5029200" cy="3114675"/>
            <wp:effectExtent t="0" r="0" b="0" l="0"/>
            <wp:docPr id="1" name="fig2" descr="KNN Test Accuracy Across Values of 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114675"/>
                    </a:xfrm>
                    <a:prstGeom prst="rect">
                      <a:avLst/>
                    </a:prstGeom>
                  </pic:spPr>
                </pic:pic>
              </a:graphicData>
            </a:graphic>
          </wp:inline>
        </w:drawing>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000000"/>
          <w:sz w:val="24"/>
          <w:szCs w:val="24"/>
        </w:rPr>
        <w:t xml:space="preserve">Radius Neighbors</w:t>
      </w:r>
    </w:p>
    <w:p>
      <w:pPr>
        <w:spacing w:after="0" w:before="0" w:line="480" w:lineRule="auto"/>
        <w:ind w:firstLine="720"/>
      </w:pPr>
      <w:r>
        <w:rPr>
          <w:rFonts w:ascii="Times New Roman" w:cs="Times New Roman" w:eastAsia="Times New Roman" w:hAnsi="Times New Roman"/>
          <w:sz w:val="24"/>
          <w:szCs w:val="24"/>
        </w:rPr>
        <w:t xml:space="preserve">Table 2 and Figure 3 present the RNN results. The highest accuracy (.722; 26 of 36 correct) occurred at the smallest radius,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350. Accuracy declined to .694 for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400 through 500 and to .667 for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550 and 600. The neighbor counts show why this occurred. Even at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350, a test point had on average 80.5 of the 142 training points (57%) inside its radius; at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600, the average rose to 111.0 (78%). Every test point had at least four neighbors at every radius, so the outlier fallback was never used.</w:t>
      </w:r>
    </w:p>
    <w:p>
      <w:pPr>
        <w:keepNext/>
        <w:spacing w:after="0" w:before="0" w:line="480" w:lineRule="auto"/>
      </w:pPr>
      <w:r>
        <w:rPr>
          <w:rFonts w:ascii="Times New Roman" w:cs="Times New Roman" w:eastAsia="Times New Roman" w:hAnsi="Times New Roman"/>
          <w:b/>
          <w:bCs/>
          <w:sz w:val="24"/>
          <w:szCs w:val="24"/>
        </w:rPr>
        <w:t xml:space="preserve">Table 2</w:t>
      </w:r>
    </w:p>
    <w:p>
      <w:pPr>
        <w:keepNext/>
        <w:spacing w:after="0" w:before="0" w:line="480" w:lineRule="auto"/>
      </w:pPr>
      <w:r>
        <w:rPr>
          <w:rFonts w:ascii="Times New Roman" w:cs="Times New Roman" w:eastAsia="Times New Roman" w:hAnsi="Times New Roman"/>
          <w:i/>
          <w:iCs/>
          <w:sz w:val="24"/>
          <w:szCs w:val="24"/>
        </w:rPr>
        <w:t xml:space="preserve">Radius Neighbors Test Accuracy and Neighborhood Size by Radius</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0"/>
        <w:gridCol w:w="1600"/>
        <w:gridCol w:w="1900"/>
        <w:gridCol w:w="1900"/>
        <w:gridCol w:w="1900"/>
      </w:tblGrid>
      <w:tr>
        <w:trPr>
          <w:tblHeader/>
        </w:trPr>
        <w:tc>
          <w:tcPr>
            <w:tcW w:type="dxa" w:w="136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i/>
                <w:iCs/>
                <w:sz w:val="24"/>
                <w:szCs w:val="24"/>
              </w:rPr>
              <w:t xml:space="preserve">r</w:t>
            </w:r>
          </w:p>
        </w:tc>
        <w:tc>
          <w:tcPr>
            <w:tcW w:type="dxa" w:w="16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Accuracy</w:t>
            </w:r>
          </w:p>
        </w:tc>
        <w:tc>
          <w:tcPr>
            <w:tcW w:type="dxa" w:w="19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neighbors</w:t>
            </w:r>
          </w:p>
        </w:tc>
        <w:tc>
          <w:tcPr>
            <w:tcW w:type="dxa" w:w="19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Min. neighbors</w:t>
            </w:r>
          </w:p>
        </w:tc>
        <w:tc>
          <w:tcPr>
            <w:tcW w:type="dxa" w:w="19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Max. neighbors</w:t>
            </w:r>
          </w:p>
        </w:tc>
      </w:tr>
      <w:tr>
        <w:tc>
          <w:tcPr>
            <w:tcW w:type="dxa" w:w="1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350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.722</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80.5</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4</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111</w:t>
            </w:r>
          </w:p>
        </w:tc>
      </w:tr>
      <w:tr>
        <w:tc>
          <w:tcPr>
            <w:tcW w:type="dxa" w:w="1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400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.694</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87.9</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9</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121</w:t>
            </w:r>
          </w:p>
        </w:tc>
      </w:tr>
      <w:tr>
        <w:tc>
          <w:tcPr>
            <w:tcW w:type="dxa" w:w="1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450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.694</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94.8</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14</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126</w:t>
            </w:r>
          </w:p>
        </w:tc>
      </w:tr>
      <w:tr>
        <w:tc>
          <w:tcPr>
            <w:tcW w:type="dxa" w:w="1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500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.694</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100.1</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17</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136</w:t>
            </w:r>
          </w:p>
        </w:tc>
      </w:tr>
      <w:tr>
        <w:tc>
          <w:tcPr>
            <w:tcW w:type="dxa" w:w="1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550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.667</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106.0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19</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138</w:t>
            </w:r>
          </w:p>
        </w:tc>
      </w:tr>
      <w:tr>
        <w:tc>
          <w:tcPr>
            <w:tcW w:type="dxa" w:w="136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600</w:t>
            </w:r>
          </w:p>
        </w:tc>
        <w:tc>
          <w:tcPr>
            <w:tcW w:type="dxa" w:w="16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.667</w:t>
            </w:r>
          </w:p>
        </w:tc>
        <w:tc>
          <w:tcPr>
            <w:tcW w:type="dxa" w:w="19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111.0</w:t>
            </w:r>
          </w:p>
        </w:tc>
        <w:tc>
          <w:tcPr>
            <w:tcW w:type="dxa" w:w="19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23</w:t>
            </w:r>
          </w:p>
        </w:tc>
        <w:tc>
          <w:tcPr>
            <w:tcW w:type="dxa" w:w="19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140</w:t>
            </w:r>
          </w:p>
        </w:tc>
      </w:tr>
    </w:tbl>
    <w:p>
      <w:pPr>
        <w:spacing w:after="0" w:before="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Neighbor counts refer to the number of the 142 training samples located within radius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of each test sample.</w:t>
      </w:r>
    </w:p>
    <w:p>
      <w:pPr>
        <w:keepNext/>
        <w:spacing w:after="0" w:before="0" w:line="480" w:lineRule="auto"/>
      </w:pPr>
      <w:r>
        <w:rPr>
          <w:rFonts w:ascii="Times New Roman" w:cs="Times New Roman" w:eastAsia="Times New Roman" w:hAnsi="Times New Roman"/>
          <w:b/>
          <w:bCs/>
          <w:sz w:val="24"/>
          <w:szCs w:val="24"/>
        </w:rPr>
        <w:t xml:space="preserve">Figure 3</w:t>
      </w:r>
    </w:p>
    <w:p>
      <w:pPr>
        <w:keepNext/>
        <w:spacing w:after="0" w:before="0" w:line="480" w:lineRule="auto"/>
      </w:pPr>
      <w:r>
        <w:rPr>
          <w:rFonts w:ascii="Times New Roman" w:cs="Times New Roman" w:eastAsia="Times New Roman" w:hAnsi="Times New Roman"/>
          <w:i/>
          <w:iCs/>
          <w:sz w:val="24"/>
          <w:szCs w:val="24"/>
        </w:rPr>
        <w:t xml:space="preserve">Radius Neighbors Test Accuracy Across Values of r</w:t>
      </w:r>
    </w:p>
    <w:p>
      <w:pPr>
        <w:keepNext w:val="false"/>
        <w:spacing w:after="0" w:before="0" w:line="240" w:lineRule="auto"/>
        <w:jc w:val="center"/>
      </w:pPr>
      <w:r>
        <w:drawing>
          <wp:inline distT="0" distB="0" distL="0" distR="0">
            <wp:extent cx="5029200" cy="3114675"/>
            <wp:effectExtent t="0" r="0" b="0" l="0"/>
            <wp:docPr id="1" name="fig3" descr="Radius Neighbors Test Accuracy Across Values of 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114675"/>
                    </a:xfrm>
                    <a:prstGeom prst="rect">
                      <a:avLst/>
                    </a:prstGeom>
                  </pic:spPr>
                </pic:pic>
              </a:graphicData>
            </a:graphic>
          </wp:inline>
        </w:drawing>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000000"/>
          <w:sz w:val="24"/>
          <w:szCs w:val="24"/>
        </w:rPr>
        <w:t xml:space="preserve">Supplementary Analysis: Effect of Feature Scaling</w:t>
      </w:r>
    </w:p>
    <w:p>
      <w:pPr>
        <w:spacing w:after="0" w:before="0" w:line="480" w:lineRule="auto"/>
        <w:ind w:firstLine="720"/>
      </w:pPr>
      <w:r>
        <w:rPr>
          <w:rFonts w:ascii="Times New Roman" w:cs="Times New Roman" w:eastAsia="Times New Roman" w:hAnsi="Times New Roman"/>
          <w:sz w:val="24"/>
          <w:szCs w:val="24"/>
        </w:rPr>
        <w:t xml:space="preserve">To examine the influence of feature scale, KNN was repeated after the features were standardized to a mean of 0 and a standard deviation of 1 (the scaler was fitted on the training data only). As Table 3 shows, accuracy increased from .778–.806 on the raw features to .972–1.000 on the standardized features.</w:t>
      </w:r>
    </w:p>
    <w:p>
      <w:pPr>
        <w:keepNext/>
        <w:spacing w:after="0" w:before="0" w:line="480" w:lineRule="auto"/>
      </w:pPr>
      <w:r>
        <w:rPr>
          <w:rFonts w:ascii="Times New Roman" w:cs="Times New Roman" w:eastAsia="Times New Roman" w:hAnsi="Times New Roman"/>
          <w:b/>
          <w:bCs/>
          <w:sz w:val="24"/>
          <w:szCs w:val="24"/>
        </w:rPr>
        <w:t xml:space="preserve">Table 3</w:t>
      </w:r>
    </w:p>
    <w:p>
      <w:pPr>
        <w:keepNext/>
        <w:spacing w:after="0" w:before="0" w:line="480" w:lineRule="auto"/>
      </w:pPr>
      <w:r>
        <w:rPr>
          <w:rFonts w:ascii="Times New Roman" w:cs="Times New Roman" w:eastAsia="Times New Roman" w:hAnsi="Times New Roman"/>
          <w:i/>
          <w:iCs/>
          <w:sz w:val="24"/>
          <w:szCs w:val="24"/>
        </w:rPr>
        <w:t xml:space="preserve">KNN Test Accuracy on Unscaled Versus Standardized Features</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000"/>
        <w:gridCol w:w="3000"/>
      </w:tblGrid>
      <w:tr>
        <w:trPr>
          <w:tblHeader/>
        </w:trPr>
        <w:tc>
          <w:tcPr>
            <w:tcW w:type="dxa" w:w="18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i/>
                <w:iCs/>
                <w:sz w:val="24"/>
                <w:szCs w:val="24"/>
              </w:rPr>
              <w:t xml:space="preserve">k</w:t>
            </w:r>
          </w:p>
        </w:tc>
        <w:tc>
          <w:tcPr>
            <w:tcW w:type="dxa" w:w="30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Unscaled</w:t>
            </w:r>
          </w:p>
        </w:tc>
        <w:tc>
          <w:tcPr>
            <w:tcW w:type="dxa" w:w="300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Standardized</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1</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.778</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.972</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5</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.806</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.972</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11</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.806</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15</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.806</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18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sz w:val="24"/>
                <w:szCs w:val="24"/>
              </w:rPr>
              <w:t xml:space="preserve">21</w:t>
            </w:r>
          </w:p>
        </w:tc>
        <w:tc>
          <w:tcPr>
            <w:tcW w:type="dxa" w:w="30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.806</w:t>
            </w:r>
          </w:p>
        </w:tc>
        <w:tc>
          <w:tcPr>
            <w:tcW w:type="dxa" w:w="3000"/>
            <w:tcBorders>
              <w:top w:val="none" w:color="FFFFFF" w:sz="0"/>
              <w:left w:val="none" w:color="FFFFFF" w:sz="0"/>
              <w:bottom w:val="single" w:color="000000" w:sz="8"/>
              <w:right w:val="none" w:color="FFFFFF" w:sz="0"/>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sz w:val="24"/>
                <w:szCs w:val="24"/>
              </w:rPr>
              <w:t xml:space="preserve">1.000</w:t>
            </w:r>
          </w:p>
        </w:tc>
      </w:tr>
    </w:tbl>
    <w:p>
      <w:pPr>
        <w:spacing w:after="0" w:before="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Standardization used scikit-learn’s StandardScaler inside a pipeline.</w:t>
      </w:r>
    </w:p>
    <w:p>
      <w:pPr>
        <w:spacing w:after="0" w:before="0" w:line="480" w:lineRule="auto"/>
      </w:pPr>
      <w:r>
        <w:rPr>
          <w:rFonts w:ascii="Times New Roman" w:cs="Times New Roman" w:eastAsia="Times New Roman" w:hAnsi="Times New Roman"/>
          <w:sz w:val="24"/>
          <w:szCs w:val="24"/>
        </w:rPr>
        <w:t xml:space="preserv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Discussion</w:t>
      </w:r>
    </w:p>
    <w:p>
      <w:pPr>
        <w:pStyle w:val="Heading2"/>
        <w:spacing w:after="0" w:before="0" w:line="480" w:lineRule="auto"/>
      </w:pPr>
      <w:r>
        <w:rPr>
          <w:rFonts w:ascii="Times New Roman" w:cs="Times New Roman" w:eastAsia="Times New Roman" w:hAnsi="Times New Roman"/>
          <w:b/>
          <w:bCs/>
          <w:color w:val="000000"/>
          <w:sz w:val="24"/>
          <w:szCs w:val="24"/>
        </w:rPr>
        <w:t xml:space="preserve">Comparison of the Two Models</w:t>
      </w:r>
    </w:p>
    <w:p>
      <w:pPr>
        <w:spacing w:after="0" w:before="0" w:line="480" w:lineRule="auto"/>
        <w:ind w:firstLine="720"/>
      </w:pPr>
      <w:r>
        <w:rPr>
          <w:rFonts w:ascii="Times New Roman" w:cs="Times New Roman" w:eastAsia="Times New Roman" w:hAnsi="Times New Roman"/>
          <w:sz w:val="24"/>
          <w:szCs w:val="24"/>
        </w:rPr>
        <w:t xml:space="preserve">KNN outperformed RNN at every setting tested. The best KNN accuracy (.806) exceeded the best RNN accuracy (.722) by about 8 percentage points, and the mean accuracy across the parameter grid was .800 for KNN compared with .690 for RNN. KNN was also more stable: once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reached 5, further changes had no effect on accuracy. RNN, by contrast, lost accuracy steadily as the radius increased.</w:t>
      </w:r>
    </w:p>
    <w:p>
      <w:pPr>
        <w:spacing w:after="0" w:before="0" w:line="480" w:lineRule="auto"/>
        <w:ind w:firstLine="720"/>
      </w:pPr>
      <w:r>
        <w:rPr>
          <w:rFonts w:ascii="Times New Roman" w:cs="Times New Roman" w:eastAsia="Times New Roman" w:hAnsi="Times New Roman"/>
          <w:sz w:val="24"/>
          <w:szCs w:val="24"/>
        </w:rPr>
        <w:t xml:space="preserve">These trends reflect the bias–variance trade-off that governs neighbor-based methods (Han et al., 2023). 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a single atypical training sample can determine a prediction, which produces high variance and slightly lower accuracy. Averaging the votes of five or more neighbors reduced that sensitivity. The RNN models sat at the opposite extreme. Because the tested radii were large relative to the spread of the data, each neighborhood contained most of the training set. As the radius grew, the vote increasingly reflected the overall class proportions rather than the local structure around the test point, so the model underfit.</w:t>
      </w:r>
    </w:p>
    <w:p>
      <w:pPr>
        <w:spacing w:after="0" w:before="0" w:line="480" w:lineRule="auto"/>
        <w:ind w:firstLine="720"/>
      </w:pPr>
      <w:r>
        <w:rPr>
          <w:rFonts w:ascii="Times New Roman" w:cs="Times New Roman" w:eastAsia="Times New Roman" w:hAnsi="Times New Roman"/>
          <w:sz w:val="24"/>
          <w:szCs w:val="24"/>
        </w:rPr>
        <w:t xml:space="preserve">The supplementary analysis showed that feature scale limited both models. On the raw data, proline alone largely determined which points were considered close, so the other 12 chemical features contributed little to the distance calculation. Standardizing the features raised KNN accuracy to between .972 and 1.000. This result suggests that scaling is a more important first step than tuning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when features are measured in different units.</w:t>
      </w:r>
    </w:p>
    <w:p>
      <w:pPr>
        <w:pStyle w:val="Heading2"/>
        <w:spacing w:after="0" w:before="0" w:line="480" w:lineRule="auto"/>
      </w:pPr>
      <w:r>
        <w:rPr>
          <w:rFonts w:ascii="Times New Roman" w:cs="Times New Roman" w:eastAsia="Times New Roman" w:hAnsi="Times New Roman"/>
          <w:b/>
          <w:bCs/>
          <w:color w:val="000000"/>
          <w:sz w:val="24"/>
          <w:szCs w:val="24"/>
        </w:rPr>
        <w:t xml:space="preserve">When Each Model Is Preferable</w:t>
      </w:r>
    </w:p>
    <w:p>
      <w:pPr>
        <w:spacing w:after="0" w:before="0" w:line="480" w:lineRule="auto"/>
        <w:ind w:firstLine="720"/>
      </w:pPr>
      <w:r>
        <w:rPr>
          <w:rFonts w:ascii="Times New Roman" w:cs="Times New Roman" w:eastAsia="Times New Roman" w:hAnsi="Times New Roman"/>
          <w:sz w:val="24"/>
          <w:szCs w:val="24"/>
        </w:rPr>
        <w:t xml:space="preserve">KNN is generally preferable when data density varies across the feature space, because it always uses exactly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neighbors and therefore adapts to both dense and sparse regions. Its parameter is also easier to tune, since a moderate value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tends to work across many datasets, whereas a useful radius depends entirely on the distance scale of a particular dataset. In addition, KNN guarantees that every test point is classified from its own neighborhood. The Wine dataset, which is small and has features on very different scales, fits this profile, and this is consistent with KNN’s stronger results.</w:t>
      </w:r>
    </w:p>
    <w:p>
      <w:pPr>
        <w:spacing w:after="0" w:before="0" w:line="480" w:lineRule="auto"/>
        <w:ind w:firstLine="720"/>
      </w:pPr>
      <w:r>
        <w:rPr>
          <w:rFonts w:ascii="Times New Roman" w:cs="Times New Roman" w:eastAsia="Times New Roman" w:hAnsi="Times New Roman"/>
          <w:sz w:val="24"/>
          <w:szCs w:val="24"/>
        </w:rPr>
        <w:t xml:space="preserve">RNN is preferable when distance has a meaningful, interpretable unit and the data are fairly uniform in density, for example, when points within a known physical distance should be treated as related in geographic or sensor data. RNN is also useful when unusual observations should be identified rather than forced into a class, because a test point with no neighbors inside the radius can be labeled as an outlier. However, the present results show that the radius must be chosen carefully; with radii that are too large, RNN approaches a majority-class classifier.</w:t>
      </w:r>
    </w:p>
    <w:p>
      <w:pPr>
        <w:pStyle w:val="Heading2"/>
        <w:spacing w:after="0" w:before="0" w:line="480" w:lineRule="auto"/>
      </w:pPr>
      <w:r>
        <w:rPr>
          <w:rFonts w:ascii="Times New Roman" w:cs="Times New Roman" w:eastAsia="Times New Roman" w:hAnsi="Times New Roman"/>
          <w:b/>
          <w:bCs/>
          <w:color w:val="000000"/>
          <w:sz w:val="24"/>
          <w:szCs w:val="24"/>
        </w:rPr>
        <w:t xml:space="preserve">Challenges and Decisions</w:t>
      </w:r>
    </w:p>
    <w:p>
      <w:pPr>
        <w:spacing w:after="0" w:before="0" w:line="480" w:lineRule="auto"/>
        <w:ind w:firstLine="720"/>
      </w:pPr>
      <w:r>
        <w:rPr>
          <w:rFonts w:ascii="Times New Roman" w:cs="Times New Roman" w:eastAsia="Times New Roman" w:hAnsi="Times New Roman"/>
          <w:sz w:val="24"/>
          <w:szCs w:val="24"/>
        </w:rPr>
        <w:t xml:space="preserve">The main decision in this lab concerned feature scaling. The specified radius range is only meaningful on unscaled data, so the main experiments used the raw features to follow the lab design, and a separate standardized experiment was added to show how scaling affects performance. A second decision was to set a fallback outlier label for RNN so that the classifier would not fail if a test point had no neighbors within the radius. A stratified split and a fixed random seed were used to preserve class proportions and make the results reproducible.</w:t>
      </w:r>
    </w:p>
    <w:p>
      <w:pPr>
        <w:pStyle w:val="Heading2"/>
        <w:spacing w:after="0" w:before="0" w:line="480" w:lineRule="auto"/>
      </w:pPr>
      <w:r>
        <w:rPr>
          <w:rFonts w:ascii="Times New Roman" w:cs="Times New Roman" w:eastAsia="Times New Roman" w:hAnsi="Times New Roman"/>
          <w:b/>
          <w:bCs/>
          <w:color w:val="000000"/>
          <w:sz w:val="24"/>
          <w:szCs w:val="24"/>
        </w:rPr>
        <w:t xml:space="preserve">Limitations</w:t>
      </w:r>
    </w:p>
    <w:p>
      <w:pPr>
        <w:spacing w:after="0" w:before="0" w:line="480" w:lineRule="auto"/>
        <w:ind w:firstLine="720"/>
      </w:pPr>
      <w:r>
        <w:rPr>
          <w:rFonts w:ascii="Times New Roman" w:cs="Times New Roman" w:eastAsia="Times New Roman" w:hAnsi="Times New Roman"/>
          <w:sz w:val="24"/>
          <w:szCs w:val="24"/>
        </w:rPr>
        <w:t xml:space="preserve">The test set contained only 36 samples, so a single misclassification changes accuracy by about 2.8 percentage points, and small differences between settings should be interpreted cautiously. The results are also based on one train–test split. Repeated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would provide more reliable estimates and would allow the choice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to be tuned without relying on the test set. Finally, accuracy was the only metric reported; precision, recall, and a confusion matrix could show whether errors were concentrated in a particular class.</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Conclusion</w:t>
      </w:r>
    </w:p>
    <w:p>
      <w:pPr>
        <w:spacing w:after="0" w:before="0" w:line="480" w:lineRule="auto"/>
        <w:ind w:firstLine="720"/>
      </w:pPr>
      <w:r>
        <w:rPr>
          <w:rFonts w:ascii="Times New Roman" w:cs="Times New Roman" w:eastAsia="Times New Roman" w:hAnsi="Times New Roman"/>
          <w:sz w:val="24"/>
          <w:szCs w:val="24"/>
        </w:rPr>
        <w:t xml:space="preserve">This lab compared KNN and Radius Neighbors classifiers on the Wine dataset across a range of parameter values. KNN performed better and more consistently, reaching an accuracy of .806 for all values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from 5 to 21. RNN reached its highest accuracy of .722 at the smallest radius and declined as the radius increased because its neighborhoods grew to include most of the training data. A supplementary experiment showed that standardizing the features raised KNN accuracy to as high as 1.000. Overall, the results show that neighbor-based classifiers depend strongly on how the neighborhood is defined and on the scale of the features used to measure distance.</w:t>
      </w:r>
    </w:p>
    <w:p>
      <w:r>
        <w:br w:type="page"/>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Aeberhard, S., &amp; Forina, M. (1991). </w:t>
      </w:r>
      <w:r>
        <w:rPr>
          <w:rFonts w:ascii="Times New Roman" w:cs="Times New Roman" w:eastAsia="Times New Roman" w:hAnsi="Times New Roman"/>
          <w:i/>
          <w:iCs/>
          <w:sz w:val="24"/>
          <w:szCs w:val="24"/>
        </w:rPr>
        <w:t xml:space="preserve">Wine</w:t>
      </w:r>
      <w:r>
        <w:rPr>
          <w:rFonts w:ascii="Times New Roman" w:cs="Times New Roman" w:eastAsia="Times New Roman" w:hAnsi="Times New Roman"/>
          <w:sz w:val="24"/>
          <w:szCs w:val="24"/>
        </w:rPr>
        <w:t xml:space="preserve"> [Data set]. UCI Machine Learning Repository. </w:t>
      </w:r>
      <w:hyperlink w:history="1" r:id="rIdtidydjgat5mfmnn48rwp9">
        <w:r>
          <w:rPr>
            <w:rFonts w:ascii="Times New Roman" w:cs="Times New Roman" w:eastAsia="Times New Roman" w:hAnsi="Times New Roman"/>
            <w:sz w:val="24"/>
            <w:szCs w:val="24"/>
          </w:rPr>
          <w:t xml:space="preserve">https://doi.org/10.24432/C5PC7J</w:t>
        </w:r>
      </w:hyperlink>
    </w:p>
    <w:p>
      <w:pPr>
        <w:spacing w:after="0" w:before="0" w:line="480" w:lineRule="auto"/>
        <w:ind w:left="720" w:hanging="720"/>
      </w:pPr>
      <w:r>
        <w:rPr>
          <w:rFonts w:ascii="Times New Roman" w:cs="Times New Roman" w:eastAsia="Times New Roman" w:hAnsi="Times New Roman"/>
          <w:sz w:val="24"/>
          <w:szCs w:val="24"/>
        </w:rPr>
        <w:t xml:space="preserve">Cover, T., &amp; Hart, P. (1967). Nearest neighbor pattern classification. </w:t>
      </w:r>
      <w:r>
        <w:rPr>
          <w:rFonts w:ascii="Times New Roman" w:cs="Times New Roman" w:eastAsia="Times New Roman" w:hAnsi="Times New Roman"/>
          <w:i/>
          <w:iCs/>
          <w:sz w:val="24"/>
          <w:szCs w:val="24"/>
        </w:rPr>
        <w:t xml:space="preserve">IEEE Transactions on Information Theory, 13</w:t>
      </w:r>
      <w:r>
        <w:rPr>
          <w:rFonts w:ascii="Times New Roman" w:cs="Times New Roman" w:eastAsia="Times New Roman" w:hAnsi="Times New Roman"/>
          <w:sz w:val="24"/>
          <w:szCs w:val="24"/>
        </w:rPr>
        <w:t xml:space="preserve">(1), 21–27. </w:t>
      </w:r>
      <w:hyperlink w:history="1" r:id="rIdqtgnfvv9yzmuwzwcdawa4">
        <w:r>
          <w:rPr>
            <w:rFonts w:ascii="Times New Roman" w:cs="Times New Roman" w:eastAsia="Times New Roman" w:hAnsi="Times New Roman"/>
            <w:sz w:val="24"/>
            <w:szCs w:val="24"/>
          </w:rPr>
          <w:t xml:space="preserve">https://doi.org/10.1109/TIT.1967.1053964</w:t>
        </w:r>
      </w:hyperlink>
    </w:p>
    <w:p>
      <w:pPr>
        <w:spacing w:after="0" w:before="0" w:line="480" w:lineRule="auto"/>
        <w:ind w:left="720" w:hanging="720"/>
      </w:pPr>
      <w:r>
        <w:rPr>
          <w:rFonts w:ascii="Times New Roman" w:cs="Times New Roman" w:eastAsia="Times New Roman" w:hAnsi="Times New Roman"/>
          <w:sz w:val="24"/>
          <w:szCs w:val="24"/>
        </w:rPr>
        <w:t xml:space="preserve">Han, J., Pei, J., &amp; Tong, H. (2023). </w:t>
      </w:r>
      <w:r>
        <w:rPr>
          <w:rFonts w:ascii="Times New Roman" w:cs="Times New Roman" w:eastAsia="Times New Roman" w:hAnsi="Times New Roman"/>
          <w:i/>
          <w:iCs/>
          <w:sz w:val="24"/>
          <w:szCs w:val="24"/>
        </w:rPr>
        <w:t xml:space="preserve">Data mining: Concepts and techniques</w:t>
      </w:r>
      <w:r>
        <w:rPr>
          <w:rFonts w:ascii="Times New Roman" w:cs="Times New Roman" w:eastAsia="Times New Roman" w:hAnsi="Times New Roman"/>
          <w:sz w:val="24"/>
          <w:szCs w:val="24"/>
        </w:rPr>
        <w:t xml:space="preserve"> (4th ed.). Morgan Kaufmann.</w:t>
      </w:r>
    </w:p>
    <w:p>
      <w:pPr>
        <w:spacing w:after="0" w:before="0" w:line="480" w:lineRule="auto"/>
        <w:ind w:left="720" w:hanging="720"/>
      </w:pPr>
      <w:r>
        <w:rPr>
          <w:rFonts w:ascii="Times New Roman" w:cs="Times New Roman" w:eastAsia="Times New Roman" w:hAnsi="Times New Roman"/>
          <w:sz w:val="24"/>
          <w:szCs w:val="24"/>
        </w:rPr>
        <w:t xml:space="preserve">Hunter, J. D. (2007). Matplotlib: A 2D graphics environment. </w:t>
      </w:r>
      <w:r>
        <w:rPr>
          <w:rFonts w:ascii="Times New Roman" w:cs="Times New Roman" w:eastAsia="Times New Roman" w:hAnsi="Times New Roman"/>
          <w:i/>
          <w:iCs/>
          <w:sz w:val="24"/>
          <w:szCs w:val="24"/>
        </w:rPr>
        <w:t xml:space="preserve">Computing in Science &amp; Engineering, 9</w:t>
      </w:r>
      <w:r>
        <w:rPr>
          <w:rFonts w:ascii="Times New Roman" w:cs="Times New Roman" w:eastAsia="Times New Roman" w:hAnsi="Times New Roman"/>
          <w:sz w:val="24"/>
          <w:szCs w:val="24"/>
        </w:rPr>
        <w:t xml:space="preserve">(3), 90–95. </w:t>
      </w:r>
      <w:hyperlink w:history="1" r:id="rIdjxex3dr4bizrg13offvzw">
        <w:r>
          <w:rPr>
            <w:rFonts w:ascii="Times New Roman" w:cs="Times New Roman" w:eastAsia="Times New Roman" w:hAnsi="Times New Roman"/>
            <w:sz w:val="24"/>
            <w:szCs w:val="24"/>
          </w:rPr>
          <w:t xml:space="preserve">https://doi.org/10.1109/MCSE.2007.55</w:t>
        </w:r>
      </w:hyperlink>
    </w:p>
    <w:p>
      <w:pPr>
        <w:spacing w:after="0" w:before="0" w:line="480" w:lineRule="auto"/>
        <w:ind w:left="720" w:hanging="720"/>
      </w:pPr>
      <w:r>
        <w:rPr>
          <w:rFonts w:ascii="Times New Roman" w:cs="Times New Roman" w:eastAsia="Times New Roman" w:hAnsi="Times New Roman"/>
          <w:sz w:val="24"/>
          <w:szCs w:val="24"/>
        </w:rPr>
        <w:t xml:space="preserve">Musku, R. (2026). </w:t>
      </w:r>
      <w:r>
        <w:rPr>
          <w:rFonts w:ascii="Times New Roman" w:cs="Times New Roman" w:eastAsia="Times New Roman" w:hAnsi="Times New Roman"/>
          <w:i/>
          <w:iCs/>
          <w:sz w:val="24"/>
          <w:szCs w:val="24"/>
        </w:rPr>
        <w:t xml:space="preserve">MSCS_634_Lab_2</w:t>
      </w:r>
      <w:r>
        <w:rPr>
          <w:rFonts w:ascii="Times New Roman" w:cs="Times New Roman" w:eastAsia="Times New Roman" w:hAnsi="Times New Roman"/>
          <w:sz w:val="24"/>
          <w:szCs w:val="24"/>
        </w:rPr>
        <w:t xml:space="preserve"> [Computer software]. GitHub. </w:t>
      </w:r>
      <w:hyperlink w:history="1" r:id="rIdhj2c1vjrbfpedbbc0abu3">
        <w:r>
          <w:rPr>
            <w:rFonts w:ascii="Times New Roman" w:cs="Times New Roman" w:eastAsia="Times New Roman" w:hAnsi="Times New Roman"/>
            <w:sz w:val="24"/>
            <w:szCs w:val="24"/>
          </w:rPr>
          <w:t xml:space="preserve">https://github.com/rmusku61699/MSCS_634_Lab_2</w:t>
        </w:r>
      </w:hyperlink>
    </w:p>
    <w:p>
      <w:pPr>
        <w:spacing w:after="0" w:before="0" w:line="480" w:lineRule="auto"/>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 </w:t>
      </w:r>
      <w:hyperlink w:history="1" r:id="rIddmclzguoaktochd_ggncr">
        <w:r>
          <w:rPr>
            <w:rFonts w:ascii="Times New Roman" w:cs="Times New Roman" w:eastAsia="Times New Roman" w:hAnsi="Times New Roman"/>
            <w:sz w:val="24"/>
            <w:szCs w:val="24"/>
          </w:rPr>
          <w:t xml:space="preserve">https://jmlr.org/papers/v12/pedregosa11a.html</w:t>
        </w:r>
      </w:hyperlink>
    </w:p>
    <w:p>
      <w:pPr>
        <w:spacing w:after="0" w:before="0" w:line="480" w:lineRule="auto"/>
        <w:ind w:left="720" w:hanging="720"/>
      </w:pPr>
      <w:r>
        <w:rPr>
          <w:rFonts w:ascii="Times New Roman" w:cs="Times New Roman" w:eastAsia="Times New Roman" w:hAnsi="Times New Roman"/>
          <w:sz w:val="24"/>
          <w:szCs w:val="24"/>
        </w:rPr>
        <w:t xml:space="preserve">scikit-learn developers. (n.d.). </w:t>
      </w:r>
      <w:r>
        <w:rPr>
          <w:rFonts w:ascii="Times New Roman" w:cs="Times New Roman" w:eastAsia="Times New Roman" w:hAnsi="Times New Roman"/>
          <w:i/>
          <w:iCs/>
          <w:sz w:val="24"/>
          <w:szCs w:val="24"/>
        </w:rPr>
        <w:t xml:space="preserve">Nearest neighbors</w:t>
      </w:r>
      <w:r>
        <w:rPr>
          <w:rFonts w:ascii="Times New Roman" w:cs="Times New Roman" w:eastAsia="Times New Roman" w:hAnsi="Times New Roman"/>
          <w:sz w:val="24"/>
          <w:szCs w:val="24"/>
        </w:rPr>
        <w:t xml:space="preserve">. scikit-learn. Retrieved September 27, 2026, from </w:t>
      </w:r>
      <w:hyperlink w:history="1" r:id="rIdwdehd8l8a5wq21xwvysfk">
        <w:r>
          <w:rPr>
            <w:rFonts w:ascii="Times New Roman" w:cs="Times New Roman" w:eastAsia="Times New Roman" w:hAnsi="Times New Roman"/>
            <w:sz w:val="24"/>
            <w:szCs w:val="24"/>
          </w:rPr>
          <w:t xml:space="preserve">https://scikit-learn.org/stable/modules/neighbors.html</w:t>
        </w:r>
      </w:hyperlink>
    </w:p>
    <w:p>
      <w:r>
        <w:br w:type="page"/>
      </w:r>
    </w:p>
    <w:p>
      <w:pPr>
        <w:spacing w:after="0" w:before="0" w:line="480" w:lineRule="auto"/>
        <w:jc w:val="center"/>
      </w:pPr>
      <w:r>
        <w:rPr>
          <w:rFonts w:ascii="Times New Roman" w:cs="Times New Roman" w:eastAsia="Times New Roman" w:hAnsi="Times New Roman"/>
          <w:b/>
          <w:bCs/>
          <w:sz w:val="24"/>
          <w:szCs w:val="24"/>
        </w:rPr>
        <w:t xml:space="preserve">Appendix</w:t>
      </w:r>
    </w:p>
    <w:p>
      <w:pPr>
        <w:spacing w:after="0" w:before="0" w:line="480" w:lineRule="auto"/>
        <w:jc w:val="center"/>
      </w:pPr>
      <w:r>
        <w:rPr>
          <w:rFonts w:ascii="Times New Roman" w:cs="Times New Roman" w:eastAsia="Times New Roman" w:hAnsi="Times New Roman"/>
          <w:b/>
          <w:bCs/>
          <w:sz w:val="24"/>
          <w:szCs w:val="24"/>
        </w:rPr>
        <w:t xml:space="preserve">Notebook Output Screenshots</w:t>
      </w:r>
    </w:p>
    <w:p>
      <w:pPr>
        <w:spacing w:after="0" w:before="0" w:line="480" w:lineRule="auto"/>
        <w:ind w:firstLine="720"/>
      </w:pPr>
      <w:r>
        <w:rPr>
          <w:rFonts w:ascii="Times New Roman" w:cs="Times New Roman" w:eastAsia="Times New Roman" w:hAnsi="Times New Roman"/>
          <w:sz w:val="24"/>
          <w:szCs w:val="24"/>
        </w:rPr>
        <w:t xml:space="preserve">The screenshots below were taken from the executed Jupyter Notebook in the project repository. The complete notebook, README file, and all images are available at </w:t>
      </w:r>
    </w:p>
    <w:p>
      <w:pPr>
        <w:spacing w:after="0" w:before="0" w:line="480" w:lineRule="auto"/>
      </w:pPr>
      <w:hyperlink w:history="1" r:id="rIde_n7dgtznfs9ab6pkyupu">
        <w:r>
          <w:rPr>
            <w:rFonts w:ascii="Times New Roman" w:cs="Times New Roman" w:eastAsia="Times New Roman" w:hAnsi="Times New Roman"/>
            <w:sz w:val="24"/>
            <w:szCs w:val="24"/>
          </w:rPr>
          <w:t xml:space="preserve">https://github.com/rmusku61699/MSCS_634_Lab_2</w:t>
        </w:r>
      </w:hyperlink>
    </w:p>
    <w:p>
      <w:pPr>
        <w:keepNext/>
        <w:spacing w:after="0" w:before="0" w:line="480" w:lineRule="auto"/>
      </w:pPr>
      <w:r>
        <w:rPr>
          <w:rFonts w:ascii="Times New Roman" w:cs="Times New Roman" w:eastAsia="Times New Roman" w:hAnsi="Times New Roman"/>
          <w:b/>
          <w:bCs/>
          <w:sz w:val="24"/>
          <w:szCs w:val="24"/>
        </w:rPr>
        <w:t xml:space="preserve">Figure A1</w:t>
      </w:r>
    </w:p>
    <w:p>
      <w:pPr>
        <w:keepNext/>
        <w:spacing w:after="0" w:before="0" w:line="480" w:lineRule="auto"/>
      </w:pPr>
      <w:r>
        <w:rPr>
          <w:rFonts w:ascii="Times New Roman" w:cs="Times New Roman" w:eastAsia="Times New Roman" w:hAnsi="Times New Roman"/>
          <w:i/>
          <w:iCs/>
          <w:sz w:val="24"/>
          <w:szCs w:val="24"/>
        </w:rPr>
        <w:t xml:space="preserve">Stratified 80/20 Train–Test Split</w:t>
      </w:r>
    </w:p>
    <w:p>
      <w:pPr>
        <w:keepNext w:val="false"/>
        <w:spacing w:after="0" w:before="0" w:line="240" w:lineRule="auto"/>
        <w:jc w:val="center"/>
      </w:pPr>
      <w:r>
        <w:drawing>
          <wp:inline distT="0" distB="0" distL="0" distR="0">
            <wp:extent cx="5943600" cy="1533525"/>
            <wp:effectExtent t="0" r="0" b="0" l="0"/>
            <wp:docPr id="1" name="figA1" descr="Stratified 80/20 Train–Test Split"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533525"/>
                    </a:xfrm>
                    <a:prstGeom prst="rect">
                      <a:avLst/>
                    </a:prstGeom>
                  </pic:spPr>
                </pic:pic>
              </a:graphicData>
            </a:graphic>
          </wp:inline>
        </w:drawing>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pPr>
      <w:r>
        <w:rPr>
          <w:rFonts w:ascii="Times New Roman" w:cs="Times New Roman" w:eastAsia="Times New Roman" w:hAnsi="Times New Roman"/>
          <w:b/>
          <w:bCs/>
          <w:sz w:val="24"/>
          <w:szCs w:val="24"/>
        </w:rPr>
        <w:t xml:space="preserve">Figure A2</w:t>
      </w:r>
    </w:p>
    <w:p>
      <w:pPr>
        <w:keepNext/>
        <w:spacing w:after="0" w:before="0" w:line="480" w:lineRule="auto"/>
      </w:pPr>
      <w:r>
        <w:rPr>
          <w:rFonts w:ascii="Times New Roman" w:cs="Times New Roman" w:eastAsia="Times New Roman" w:hAnsi="Times New Roman"/>
          <w:i/>
          <w:iCs/>
          <w:sz w:val="24"/>
          <w:szCs w:val="24"/>
        </w:rPr>
        <w:t xml:space="preserve">KNN Training, Evaluation, and Recorded Accuracy</w:t>
      </w:r>
    </w:p>
    <w:p>
      <w:pPr>
        <w:keepNext w:val="false"/>
        <w:spacing w:after="0" w:before="0" w:line="240" w:lineRule="auto"/>
        <w:jc w:val="center"/>
      </w:pPr>
      <w:r>
        <w:drawing>
          <wp:inline distT="0" distB="0" distL="0" distR="0">
            <wp:extent cx="5943600" cy="2638425"/>
            <wp:effectExtent t="0" r="0" b="0" l="0"/>
            <wp:docPr id="1" name="figA2" descr="KNN Training, Evaluation, and Recorded Accuracy"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38425"/>
                    </a:xfrm>
                    <a:prstGeom prst="rect">
                      <a:avLst/>
                    </a:prstGeom>
                  </pic:spPr>
                </pic:pic>
              </a:graphicData>
            </a:graphic>
          </wp:inline>
        </w:drawing>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pPr>
      <w:r>
        <w:rPr>
          <w:rFonts w:ascii="Times New Roman" w:cs="Times New Roman" w:eastAsia="Times New Roman" w:hAnsi="Times New Roman"/>
          <w:b/>
          <w:bCs/>
          <w:sz w:val="24"/>
          <w:szCs w:val="24"/>
        </w:rPr>
        <w:t xml:space="preserve">Figure A3</w:t>
      </w:r>
    </w:p>
    <w:p>
      <w:pPr>
        <w:keepNext/>
        <w:spacing w:after="0" w:before="0" w:line="480" w:lineRule="auto"/>
      </w:pPr>
      <w:r>
        <w:rPr>
          <w:rFonts w:ascii="Times New Roman" w:cs="Times New Roman" w:eastAsia="Times New Roman" w:hAnsi="Times New Roman"/>
          <w:i/>
          <w:iCs/>
          <w:sz w:val="24"/>
          <w:szCs w:val="24"/>
        </w:rPr>
        <w:t xml:space="preserve">Radius Neighbors Training, Evaluation, and Recorded Accuracy</w:t>
      </w:r>
    </w:p>
    <w:p>
      <w:pPr>
        <w:keepNext w:val="false"/>
        <w:spacing w:after="0" w:before="0" w:line="240" w:lineRule="auto"/>
        <w:jc w:val="center"/>
      </w:pPr>
      <w:r>
        <w:drawing>
          <wp:inline distT="0" distB="0" distL="0" distR="0">
            <wp:extent cx="5943600" cy="3819525"/>
            <wp:effectExtent t="0" r="0" b="0" l="0"/>
            <wp:docPr id="1" name="figA3" descr="Radius Neighbors Training, Evaluation, and Recorded Accuracy"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19525"/>
                    </a:xfrm>
                    <a:prstGeom prst="rect">
                      <a:avLst/>
                    </a:prstGeom>
                  </pic:spPr>
                </pic:pic>
              </a:graphicData>
            </a:graphic>
          </wp:inline>
        </w:drawing>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pPr>
      <w:r>
        <w:rPr>
          <w:rFonts w:ascii="Times New Roman" w:cs="Times New Roman" w:eastAsia="Times New Roman" w:hAnsi="Times New Roman"/>
          <w:b/>
          <w:bCs/>
          <w:sz w:val="24"/>
          <w:szCs w:val="24"/>
        </w:rPr>
        <w:t xml:space="preserve">Figure A4</w:t>
      </w:r>
    </w:p>
    <w:p>
      <w:pPr>
        <w:keepNext/>
        <w:spacing w:after="0" w:before="0" w:line="480" w:lineRule="auto"/>
      </w:pPr>
      <w:r>
        <w:rPr>
          <w:rFonts w:ascii="Times New Roman" w:cs="Times New Roman" w:eastAsia="Times New Roman" w:hAnsi="Times New Roman"/>
          <w:i/>
          <w:iCs/>
          <w:sz w:val="24"/>
          <w:szCs w:val="24"/>
        </w:rPr>
        <w:t xml:space="preserve">Side-by-Side Accuracy Trends and Summary Table</w:t>
      </w:r>
    </w:p>
    <w:p>
      <w:pPr>
        <w:keepNext w:val="false"/>
        <w:spacing w:after="0" w:before="0" w:line="240" w:lineRule="auto"/>
        <w:jc w:val="center"/>
      </w:pPr>
      <w:r>
        <w:drawing>
          <wp:inline distT="0" distB="0" distL="0" distR="0">
            <wp:extent cx="5943600" cy="5105400"/>
            <wp:effectExtent t="0" r="0" b="0" l="0"/>
            <wp:docPr id="1" name="figA4" descr="Side-by-Side Accuracy Trends and Summary Table" title="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105400"/>
                    </a:xfrm>
                    <a:prstGeom prst="rect">
                      <a:avLst/>
                    </a:prstGeom>
                  </pic:spPr>
                </pic:pic>
              </a:graphicData>
            </a:graphic>
          </wp:inline>
        </w:drawing>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pPr>
      <w:r>
        <w:rPr>
          <w:rFonts w:ascii="Times New Roman" w:cs="Times New Roman" w:eastAsia="Times New Roman" w:hAnsi="Times New Roman"/>
          <w:b/>
          <w:bCs/>
          <w:sz w:val="24"/>
          <w:szCs w:val="24"/>
        </w:rPr>
        <w:t xml:space="preserve">Figure A5</w:t>
      </w:r>
    </w:p>
    <w:p>
      <w:pPr>
        <w:keepNext/>
        <w:spacing w:after="0" w:before="0" w:line="480" w:lineRule="auto"/>
      </w:pPr>
      <w:r>
        <w:rPr>
          <w:rFonts w:ascii="Times New Roman" w:cs="Times New Roman" w:eastAsia="Times New Roman" w:hAnsi="Times New Roman"/>
          <w:i/>
          <w:iCs/>
          <w:sz w:val="24"/>
          <w:szCs w:val="24"/>
        </w:rPr>
        <w:t xml:space="preserve">Supplementary Feature-Scaling Check</w:t>
      </w:r>
    </w:p>
    <w:p>
      <w:pPr>
        <w:keepNext w:val="false"/>
        <w:spacing w:after="0" w:before="0" w:line="240" w:lineRule="auto"/>
        <w:jc w:val="center"/>
      </w:pPr>
      <w:r>
        <w:drawing>
          <wp:inline distT="0" distB="0" distL="0" distR="0">
            <wp:extent cx="5943600" cy="2114550"/>
            <wp:effectExtent t="0" r="0" b="0" l="0"/>
            <wp:docPr id="1" name="figA5" descr="Supplementary Feature-Scaling Check" title="Figure 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114550"/>
                    </a:xfrm>
                    <a:prstGeom prst="rect">
                      <a:avLst/>
                    </a:prstGeom>
                  </pic:spPr>
                </pic:pic>
              </a:graphicData>
            </a:graphic>
          </wp:inline>
        </w:drawing>
      </w:r>
    </w:p>
    <w:p>
      <w:pPr>
        <w:spacing w:after="0" w:before="0" w:line="480" w:lineRule="auto"/>
      </w:pPr>
      <w:r>
        <w:rPr>
          <w:rFonts w:ascii="Times New Roman" w:cs="Times New Roman" w:eastAsia="Times New Roman" w:hAnsi="Times New Roman"/>
          <w:sz w:val="24"/>
          <w:szCs w:val="24"/>
        </w:rPr>
        <w:t xml:space="preserve"/>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tidydjgat5mfmnn48rwp9" Type="http://schemas.openxmlformats.org/officeDocument/2006/relationships/hyperlink" Target="https://doi.org/10.24432/C5PC7J" TargetMode="External"/><Relationship Id="rIdqtgnfvv9yzmuwzwcdawa4" Type="http://schemas.openxmlformats.org/officeDocument/2006/relationships/hyperlink" Target="https://doi.org/10.1109/TIT.1967.1053964" TargetMode="External"/><Relationship Id="rIdjxex3dr4bizrg13offvzw" Type="http://schemas.openxmlformats.org/officeDocument/2006/relationships/hyperlink" Target="https://doi.org/10.1109/MCSE.2007.55" TargetMode="External"/><Relationship Id="rIdhj2c1vjrbfpedbbc0abu3" Type="http://schemas.openxmlformats.org/officeDocument/2006/relationships/hyperlink" Target="https://github.com/rmusku61699/MSCS_634_Lab_2" TargetMode="External"/><Relationship Id="rIddmclzguoaktochd_ggncr" Type="http://schemas.openxmlformats.org/officeDocument/2006/relationships/hyperlink" Target="https://jmlr.org/papers/v12/pedregosa11a.html" TargetMode="External"/><Relationship Id="rIdwdehd8l8a5wq21xwvysfk" Type="http://schemas.openxmlformats.org/officeDocument/2006/relationships/hyperlink" Target="https://scikit-learn.org/stable/modules/neighbors.html" TargetMode="External"/><Relationship Id="rIde_n7dgtznfs9ab6pkyupu" Type="http://schemas.openxmlformats.org/officeDocument/2006/relationships/hyperlink" Target="https://github.com/rmusku61699/MSCS_634_Lab_2" TargetMode="External"/><Relationship Id="rId8" Type="http://schemas.openxmlformats.org/officeDocument/2006/relationships/image" Target="media/0760690510f16cb7a34f29e22fd653c7299b1153.png"/><Relationship Id="rId9" Type="http://schemas.openxmlformats.org/officeDocument/2006/relationships/image" Target="media/b0c2209c808c93ec4f8cf1ecf06ac96d22c89c3d.png"/><Relationship Id="rId10" Type="http://schemas.openxmlformats.org/officeDocument/2006/relationships/image" Target="media/db5027c7d5d643eebd9b4acbbd362b85750c2dcc.png"/><Relationship Id="rId11" Type="http://schemas.openxmlformats.org/officeDocument/2006/relationships/image" Target="media/22479627b6078af473082ba91af6bf620d07f699.png"/><Relationship Id="rId12" Type="http://schemas.openxmlformats.org/officeDocument/2006/relationships/image" Target="media/dc2c9ac1be8caf3041c3c9f476f5d38cd10028e6.png"/><Relationship Id="rId13" Type="http://schemas.openxmlformats.org/officeDocument/2006/relationships/image" Target="media/76ddbf16f76de2a509976e7033b7d9bfc2042ac5.png"/><Relationship Id="rId14" Type="http://schemas.openxmlformats.org/officeDocument/2006/relationships/image" Target="media/f42bebb2c714011d497f6e93f4d1c0891930e546.png"/><Relationship Id="rId15" Type="http://schemas.openxmlformats.org/officeDocument/2006/relationships/image" Target="media/feb7b95c502c6a01815860ffdcb74b5c83ca1e2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K-Nearest Neighbors and Radius Neighbors Classifiers on the Wine Dataset</dc:title>
  <dc:creator>Ruchitha Musku</dc:creator>
  <cp:lastModifiedBy>Un-named</cp:lastModifiedBy>
  <cp:revision>1</cp:revision>
  <dcterms:created xsi:type="dcterms:W3CDTF">2026-09-26T23:14:25.322Z</dcterms:created>
  <dcterms:modified xsi:type="dcterms:W3CDTF">2026-09-26T23:14:25.330Z</dcterms:modified>
</cp:coreProperties>
</file>

<file path=docProps/custom.xml><?xml version="1.0" encoding="utf-8"?>
<Properties xmlns="http://schemas.openxmlformats.org/officeDocument/2006/custom-properties" xmlns:vt="http://schemas.openxmlformats.org/officeDocument/2006/docPropsVTypes"/>
</file>