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E0F10" w14:textId="77777777" w:rsidR="00B57256" w:rsidRPr="00B57256" w:rsidRDefault="00B57256">
      <w:pPr>
        <w:rPr>
          <w:rFonts w:ascii="Times New Roman" w:hAnsi="Times New Roman" w:cs="Times New Roman"/>
          <w:b/>
          <w:bCs/>
        </w:rPr>
      </w:pPr>
      <w:r w:rsidRPr="00B57256">
        <w:rPr>
          <w:rFonts w:ascii="Times New Roman" w:hAnsi="Times New Roman" w:cs="Times New Roman"/>
          <w:b/>
          <w:bCs/>
        </w:rPr>
        <w:t xml:space="preserve">The dorsomedial hypothalamic nucleus and its role in ingestive behavior and body weight regulation </w:t>
      </w:r>
    </w:p>
    <w:p w14:paraId="2FC75573" w14:textId="089C88F0" w:rsidR="006E759B" w:rsidRDefault="00B57256">
      <w:pPr>
        <w:rPr>
          <w:rFonts w:ascii="Times New Roman" w:hAnsi="Times New Roman" w:cs="Times New Roman"/>
        </w:rPr>
      </w:pPr>
      <w:r w:rsidRPr="00B57256">
        <w:rPr>
          <w:rFonts w:ascii="Times New Roman" w:hAnsi="Times New Roman" w:cs="Times New Roman"/>
        </w:rPr>
        <w:t xml:space="preserve">(Bellinger and </w:t>
      </w:r>
      <w:proofErr w:type="spellStart"/>
      <w:r w:rsidRPr="00B57256">
        <w:rPr>
          <w:rFonts w:ascii="Times New Roman" w:hAnsi="Times New Roman" w:cs="Times New Roman"/>
        </w:rPr>
        <w:t>Bernardis</w:t>
      </w:r>
      <w:proofErr w:type="spellEnd"/>
      <w:r w:rsidRPr="00B57256">
        <w:rPr>
          <w:rFonts w:ascii="Times New Roman" w:hAnsi="Times New Roman" w:cs="Times New Roman"/>
        </w:rPr>
        <w:t>, 2002)</w:t>
      </w:r>
    </w:p>
    <w:p w14:paraId="0B45806B" w14:textId="270C64B2" w:rsidR="00FD5158" w:rsidRDefault="00B57256">
      <w:pPr>
        <w:rPr>
          <w:rFonts w:ascii="Times New Roman" w:hAnsi="Times New Roman" w:cs="Times New Roman"/>
        </w:rPr>
      </w:pPr>
      <w:r w:rsidRPr="00F51AAC">
        <w:rPr>
          <w:rFonts w:ascii="Times New Roman" w:hAnsi="Times New Roman" w:cs="Times New Roman"/>
          <w:highlight w:val="green"/>
        </w:rPr>
        <w:t>-</w:t>
      </w:r>
      <w:r w:rsidR="00FD5158" w:rsidRPr="00F51AAC">
        <w:rPr>
          <w:rFonts w:ascii="Times New Roman" w:hAnsi="Times New Roman" w:cs="Times New Roman"/>
          <w:highlight w:val="green"/>
        </w:rPr>
        <w:t>stimulation in sheep produced hyperphagia</w:t>
      </w:r>
    </w:p>
    <w:p w14:paraId="235864EC" w14:textId="4B508A30" w:rsidR="00FD5158" w:rsidRDefault="00FD5158" w:rsidP="00FD5158">
      <w:pPr>
        <w:rPr>
          <w:rFonts w:ascii="Times New Roman" w:hAnsi="Times New Roman" w:cs="Times New Roman"/>
        </w:rPr>
      </w:pPr>
      <w:r w:rsidRPr="00F51AAC">
        <w:rPr>
          <w:rFonts w:ascii="Times New Roman" w:hAnsi="Times New Roman" w:cs="Times New Roman"/>
          <w:highlight w:val="green"/>
        </w:rPr>
        <w:t xml:space="preserve">-DMH lesions (rats) = hypophagia, </w:t>
      </w:r>
      <w:proofErr w:type="spellStart"/>
      <w:r w:rsidRPr="00F51AAC">
        <w:rPr>
          <w:rFonts w:ascii="Times New Roman" w:hAnsi="Times New Roman" w:cs="Times New Roman"/>
          <w:highlight w:val="green"/>
        </w:rPr>
        <w:t>hypdispia</w:t>
      </w:r>
      <w:proofErr w:type="spellEnd"/>
      <w:r w:rsidRPr="00F51AAC">
        <w:rPr>
          <w:rFonts w:ascii="Times New Roman" w:hAnsi="Times New Roman" w:cs="Times New Roman"/>
          <w:highlight w:val="green"/>
        </w:rPr>
        <w:t>, but normal % fat and lean body mass</w:t>
      </w:r>
    </w:p>
    <w:p w14:paraId="28F69D86" w14:textId="23EBD388" w:rsidR="00FD5158" w:rsidRDefault="00FD5158">
      <w:pPr>
        <w:rPr>
          <w:rFonts w:ascii="Times New Roman" w:hAnsi="Times New Roman" w:cs="Times New Roman"/>
        </w:rPr>
      </w:pPr>
      <w:r>
        <w:rPr>
          <w:rFonts w:ascii="Times New Roman" w:hAnsi="Times New Roman" w:cs="Times New Roman"/>
        </w:rPr>
        <w:t>-DMHL rats have normal plasma GH</w:t>
      </w:r>
    </w:p>
    <w:p w14:paraId="01E996D2" w14:textId="2FB2E676" w:rsidR="00FD5158" w:rsidRDefault="00FD5158">
      <w:pPr>
        <w:rPr>
          <w:rFonts w:ascii="Times New Roman" w:hAnsi="Times New Roman" w:cs="Times New Roman"/>
        </w:rPr>
      </w:pPr>
      <w:r w:rsidRPr="00F51AAC">
        <w:rPr>
          <w:rFonts w:ascii="Times New Roman" w:hAnsi="Times New Roman" w:cs="Times New Roman"/>
          <w:highlight w:val="green"/>
        </w:rPr>
        <w:t>-</w:t>
      </w:r>
      <w:r w:rsidRPr="00F51AAC">
        <w:rPr>
          <w:highlight w:val="green"/>
        </w:rPr>
        <w:t xml:space="preserve"> “</w:t>
      </w:r>
      <w:r w:rsidRPr="00F51AAC">
        <w:rPr>
          <w:rFonts w:ascii="Times New Roman" w:hAnsi="Times New Roman" w:cs="Times New Roman"/>
          <w:highlight w:val="green"/>
        </w:rPr>
        <w:t>The ad libitum-fed DMNL rats showed the typical lesion-induced hypophagia and lost BW compared to the ad libitum-fed sham-operated group.”</w:t>
      </w:r>
    </w:p>
    <w:p w14:paraId="75DD1A07" w14:textId="59520B6A" w:rsidR="00FD5158" w:rsidRDefault="00FD5158">
      <w:pPr>
        <w:rPr>
          <w:rFonts w:ascii="Times New Roman" w:hAnsi="Times New Roman" w:cs="Times New Roman"/>
        </w:rPr>
      </w:pPr>
      <w:r w:rsidRPr="00F51AAC">
        <w:rPr>
          <w:rFonts w:ascii="Times New Roman" w:hAnsi="Times New Roman" w:cs="Times New Roman"/>
        </w:rPr>
        <w:t>-“After about 20 days, the BWs of the ad libitum-fed lesioned rats stabilized on a lower growth curve.”</w:t>
      </w:r>
    </w:p>
    <w:p w14:paraId="2B14E452" w14:textId="77777777" w:rsidR="00FD5158" w:rsidRDefault="00FD5158">
      <w:pPr>
        <w:rPr>
          <w:rFonts w:ascii="Times New Roman" w:hAnsi="Times New Roman" w:cs="Times New Roman"/>
        </w:rPr>
      </w:pPr>
      <w:r w:rsidRPr="00F51AAC">
        <w:rPr>
          <w:rFonts w:ascii="Times New Roman" w:hAnsi="Times New Roman" w:cs="Times New Roman"/>
          <w:highlight w:val="green"/>
        </w:rPr>
        <w:t>-“In sharp contrast to this, the restricted rats after DMNL lesioning showed an immediate hyperphagia and their food intake remained higher than that of the ad libitum-fed group for 10 days.”</w:t>
      </w:r>
    </w:p>
    <w:p w14:paraId="54AC2F58" w14:textId="77777777" w:rsidR="00FD5158" w:rsidRDefault="00FD5158">
      <w:pPr>
        <w:rPr>
          <w:rFonts w:ascii="Times New Roman" w:hAnsi="Times New Roman" w:cs="Times New Roman"/>
        </w:rPr>
      </w:pPr>
      <w:r>
        <w:rPr>
          <w:rFonts w:ascii="Times New Roman" w:hAnsi="Times New Roman" w:cs="Times New Roman"/>
        </w:rPr>
        <w:t>-“</w:t>
      </w:r>
      <w:r w:rsidRPr="00FD5158">
        <w:rPr>
          <w:rFonts w:ascii="Times New Roman" w:hAnsi="Times New Roman" w:cs="Times New Roman"/>
        </w:rPr>
        <w:t xml:space="preserve"> After DMNL, the restricted group immediately began to gain BW and approached the attenuated BW of the ad libitum-fed DMNL rats and began to parallel their weight gain.</w:t>
      </w:r>
      <w:r>
        <w:rPr>
          <w:rFonts w:ascii="Times New Roman" w:hAnsi="Times New Roman" w:cs="Times New Roman"/>
        </w:rPr>
        <w:t>”</w:t>
      </w:r>
    </w:p>
    <w:p w14:paraId="5A4C115F" w14:textId="6A6B38EE" w:rsidR="00FD5158" w:rsidRDefault="00FD5158">
      <w:pPr>
        <w:rPr>
          <w:rFonts w:ascii="Times New Roman" w:hAnsi="Times New Roman" w:cs="Times New Roman"/>
        </w:rPr>
      </w:pPr>
      <w:r>
        <w:rPr>
          <w:rFonts w:ascii="Times New Roman" w:hAnsi="Times New Roman" w:cs="Times New Roman"/>
        </w:rPr>
        <w:t>-“</w:t>
      </w:r>
      <w:r w:rsidRPr="00FD5158">
        <w:rPr>
          <w:rFonts w:ascii="Times New Roman" w:hAnsi="Times New Roman" w:cs="Times New Roman"/>
        </w:rPr>
        <w:t xml:space="preserve">At the end of the 28-day study, body composition of the DMNL groups was comparable to the control animals. These data demonstrated that the DMNL rats not only actively regulated their </w:t>
      </w:r>
      <w:proofErr w:type="gramStart"/>
      <w:r w:rsidRPr="00FD5158">
        <w:rPr>
          <w:rFonts w:ascii="Times New Roman" w:hAnsi="Times New Roman" w:cs="Times New Roman"/>
        </w:rPr>
        <w:t>BW, but</w:t>
      </w:r>
      <w:proofErr w:type="gramEnd"/>
      <w:r w:rsidRPr="00FD5158">
        <w:rPr>
          <w:rFonts w:ascii="Times New Roman" w:hAnsi="Times New Roman" w:cs="Times New Roman"/>
        </w:rPr>
        <w:t xml:space="preserve"> also did so with normal body composition.</w:t>
      </w:r>
      <w:r>
        <w:rPr>
          <w:rFonts w:ascii="Times New Roman" w:hAnsi="Times New Roman" w:cs="Times New Roman"/>
        </w:rPr>
        <w:t>”</w:t>
      </w:r>
    </w:p>
    <w:p w14:paraId="4E812EE2" w14:textId="789032BE" w:rsidR="00FD5158" w:rsidRDefault="00FD5158">
      <w:pPr>
        <w:rPr>
          <w:rFonts w:ascii="Times New Roman" w:hAnsi="Times New Roman" w:cs="Times New Roman"/>
        </w:rPr>
      </w:pPr>
      <w:r w:rsidRPr="008E41D6">
        <w:rPr>
          <w:rFonts w:ascii="Times New Roman" w:hAnsi="Times New Roman" w:cs="Times New Roman"/>
          <w:highlight w:val="green"/>
        </w:rPr>
        <w:t>-</w:t>
      </w:r>
      <w:r w:rsidRPr="008E41D6">
        <w:rPr>
          <w:highlight w:val="green"/>
        </w:rPr>
        <w:t xml:space="preserve"> “</w:t>
      </w:r>
      <w:r w:rsidRPr="008E41D6">
        <w:rPr>
          <w:rFonts w:ascii="Times New Roman" w:hAnsi="Times New Roman" w:cs="Times New Roman"/>
          <w:highlight w:val="green"/>
        </w:rPr>
        <w:t xml:space="preserve">DMNL rats given </w:t>
      </w:r>
      <w:r w:rsidRPr="008E41D6">
        <w:rPr>
          <w:rFonts w:ascii="Times New Roman" w:hAnsi="Times New Roman" w:cs="Times New Roman"/>
          <w:b/>
          <w:bCs/>
          <w:highlight w:val="green"/>
        </w:rPr>
        <w:t>high fat</w:t>
      </w:r>
      <w:r w:rsidRPr="008E41D6">
        <w:rPr>
          <w:rFonts w:ascii="Times New Roman" w:hAnsi="Times New Roman" w:cs="Times New Roman"/>
          <w:highlight w:val="green"/>
        </w:rPr>
        <w:t xml:space="preserve"> or ‘junk food’ diets </w:t>
      </w:r>
      <w:r w:rsidRPr="008E41D6">
        <w:rPr>
          <w:rFonts w:ascii="Times New Roman" w:hAnsi="Times New Roman" w:cs="Times New Roman"/>
          <w:b/>
          <w:bCs/>
          <w:highlight w:val="green"/>
        </w:rPr>
        <w:t>did become obese</w:t>
      </w:r>
      <w:r w:rsidRPr="008E41D6">
        <w:rPr>
          <w:rFonts w:ascii="Times New Roman" w:hAnsi="Times New Roman" w:cs="Times New Roman"/>
          <w:highlight w:val="green"/>
        </w:rPr>
        <w:t xml:space="preserve"> compared to chow fed DMNL rats”</w:t>
      </w:r>
    </w:p>
    <w:p w14:paraId="32CDCE7C" w14:textId="27550512" w:rsidR="00FD5158" w:rsidRDefault="00FD5158">
      <w:pPr>
        <w:rPr>
          <w:rFonts w:ascii="Times New Roman" w:hAnsi="Times New Roman" w:cs="Times New Roman"/>
        </w:rPr>
      </w:pPr>
      <w:r w:rsidRPr="008E41D6">
        <w:rPr>
          <w:rFonts w:ascii="Times New Roman" w:hAnsi="Times New Roman" w:cs="Times New Roman"/>
          <w:highlight w:val="green"/>
        </w:rPr>
        <w:t xml:space="preserve">- “However, DMNL rats given a </w:t>
      </w:r>
      <w:r w:rsidRPr="008E41D6">
        <w:rPr>
          <w:rFonts w:ascii="Times New Roman" w:hAnsi="Times New Roman" w:cs="Times New Roman"/>
          <w:b/>
          <w:bCs/>
          <w:highlight w:val="green"/>
        </w:rPr>
        <w:t>high-fat diet</w:t>
      </w:r>
      <w:r w:rsidRPr="008E41D6">
        <w:rPr>
          <w:rFonts w:ascii="Times New Roman" w:hAnsi="Times New Roman" w:cs="Times New Roman"/>
          <w:highlight w:val="green"/>
        </w:rPr>
        <w:t xml:space="preserve"> do not become </w:t>
      </w:r>
      <w:r w:rsidRPr="008E41D6">
        <w:rPr>
          <w:rFonts w:ascii="Times New Roman" w:hAnsi="Times New Roman" w:cs="Times New Roman"/>
          <w:b/>
          <w:bCs/>
          <w:highlight w:val="green"/>
        </w:rPr>
        <w:t>as obese as control animals</w:t>
      </w:r>
      <w:r w:rsidRPr="008E41D6">
        <w:rPr>
          <w:rFonts w:ascii="Times New Roman" w:hAnsi="Times New Roman" w:cs="Times New Roman"/>
          <w:highlight w:val="green"/>
        </w:rPr>
        <w:t xml:space="preserve">, when fed </w:t>
      </w:r>
      <w:r w:rsidRPr="008E41D6">
        <w:rPr>
          <w:rFonts w:ascii="Times New Roman" w:hAnsi="Times New Roman" w:cs="Times New Roman"/>
          <w:b/>
          <w:bCs/>
          <w:highlight w:val="green"/>
        </w:rPr>
        <w:t>other palatable diets</w:t>
      </w:r>
      <w:r w:rsidRPr="008E41D6">
        <w:rPr>
          <w:rFonts w:ascii="Times New Roman" w:hAnsi="Times New Roman" w:cs="Times New Roman"/>
          <w:highlight w:val="green"/>
        </w:rPr>
        <w:t xml:space="preserve">, they can become </w:t>
      </w:r>
      <w:r w:rsidRPr="008E41D6">
        <w:rPr>
          <w:rFonts w:ascii="Times New Roman" w:hAnsi="Times New Roman" w:cs="Times New Roman"/>
          <w:b/>
          <w:bCs/>
          <w:highlight w:val="green"/>
        </w:rPr>
        <w:t>as obese or even more obese</w:t>
      </w:r>
      <w:r w:rsidRPr="008E41D6">
        <w:rPr>
          <w:rFonts w:ascii="Times New Roman" w:hAnsi="Times New Roman" w:cs="Times New Roman"/>
          <w:highlight w:val="green"/>
        </w:rPr>
        <w:t xml:space="preserve"> than similarly fed sham-operated rats”</w:t>
      </w:r>
    </w:p>
    <w:p w14:paraId="6585EC8F" w14:textId="50BF3230" w:rsidR="003A50E6" w:rsidRDefault="003A50E6">
      <w:pPr>
        <w:rPr>
          <w:rFonts w:ascii="Times New Roman" w:hAnsi="Times New Roman" w:cs="Times New Roman"/>
        </w:rPr>
      </w:pPr>
      <w:r>
        <w:rPr>
          <w:rFonts w:ascii="Times New Roman" w:hAnsi="Times New Roman" w:cs="Times New Roman"/>
        </w:rPr>
        <w:t>-”T</w:t>
      </w:r>
      <w:r w:rsidRPr="003A50E6">
        <w:rPr>
          <w:rFonts w:ascii="Times New Roman" w:hAnsi="Times New Roman" w:cs="Times New Roman"/>
        </w:rPr>
        <w:t>he data taken as a whole suggest that DMNL may attenuate high-fat induced obesity but do not completely eliminate it</w:t>
      </w:r>
      <w:r>
        <w:rPr>
          <w:rFonts w:ascii="Times New Roman" w:hAnsi="Times New Roman" w:cs="Times New Roman"/>
        </w:rPr>
        <w:t>”</w:t>
      </w:r>
    </w:p>
    <w:p w14:paraId="472C34EA" w14:textId="78518CCD" w:rsidR="003A50E6" w:rsidRDefault="003A50E6">
      <w:pPr>
        <w:rPr>
          <w:rFonts w:ascii="Times New Roman" w:hAnsi="Times New Roman" w:cs="Times New Roman"/>
        </w:rPr>
      </w:pPr>
      <w:r>
        <w:rPr>
          <w:rFonts w:ascii="Times New Roman" w:hAnsi="Times New Roman" w:cs="Times New Roman"/>
        </w:rPr>
        <w:t>-</w:t>
      </w:r>
      <w:r w:rsidRPr="003A50E6">
        <w:t xml:space="preserve"> </w:t>
      </w:r>
      <w:r>
        <w:t>“</w:t>
      </w:r>
      <w:r w:rsidRPr="003A50E6">
        <w:rPr>
          <w:rFonts w:ascii="Times New Roman" w:hAnsi="Times New Roman" w:cs="Times New Roman"/>
        </w:rPr>
        <w:t>The DMNL groups showed their typical hypophagia, reduced BW gain, reduced linear growth, but normal body composition.</w:t>
      </w:r>
      <w:r>
        <w:rPr>
          <w:rFonts w:ascii="Times New Roman" w:hAnsi="Times New Roman" w:cs="Times New Roman"/>
        </w:rPr>
        <w:t>”</w:t>
      </w:r>
    </w:p>
    <w:p w14:paraId="1C5504F2" w14:textId="52C53CA3" w:rsidR="00FD5158" w:rsidRDefault="00FD5158">
      <w:pPr>
        <w:rPr>
          <w:rFonts w:ascii="Times New Roman" w:hAnsi="Times New Roman" w:cs="Times New Roman"/>
        </w:rPr>
      </w:pPr>
      <w:r>
        <w:rPr>
          <w:rFonts w:ascii="Times New Roman" w:hAnsi="Times New Roman" w:cs="Times New Roman"/>
        </w:rPr>
        <w:t>-</w:t>
      </w:r>
      <w:r w:rsidR="003A50E6">
        <w:rPr>
          <w:rFonts w:ascii="Times New Roman" w:hAnsi="Times New Roman" w:cs="Times New Roman"/>
        </w:rPr>
        <w:t xml:space="preserve">OVX does not change growth in DMHL </w:t>
      </w:r>
      <w:proofErr w:type="gramStart"/>
      <w:r w:rsidR="003A50E6">
        <w:rPr>
          <w:rFonts w:ascii="Times New Roman" w:hAnsi="Times New Roman" w:cs="Times New Roman"/>
        </w:rPr>
        <w:t>rats</w:t>
      </w:r>
      <w:proofErr w:type="gramEnd"/>
      <w:r w:rsidR="003A50E6">
        <w:rPr>
          <w:rFonts w:ascii="Times New Roman" w:hAnsi="Times New Roman" w:cs="Times New Roman"/>
        </w:rPr>
        <w:t xml:space="preserve"> vs sham</w:t>
      </w:r>
    </w:p>
    <w:p w14:paraId="5D7CDB11" w14:textId="281AEBCC" w:rsidR="003A50E6" w:rsidRDefault="003A50E6">
      <w:pPr>
        <w:rPr>
          <w:rFonts w:ascii="Times New Roman" w:hAnsi="Times New Roman" w:cs="Times New Roman"/>
        </w:rPr>
      </w:pPr>
      <w:r>
        <w:rPr>
          <w:rFonts w:ascii="Times New Roman" w:hAnsi="Times New Roman" w:cs="Times New Roman"/>
        </w:rPr>
        <w:t>-“</w:t>
      </w:r>
      <w:r w:rsidRPr="003A50E6">
        <w:t xml:space="preserve"> </w:t>
      </w:r>
      <w:r w:rsidRPr="003A50E6">
        <w:rPr>
          <w:rFonts w:ascii="Times New Roman" w:hAnsi="Times New Roman" w:cs="Times New Roman"/>
        </w:rPr>
        <w:t>These data [45] suggested that even though the DMNL lowered the rat's ‘BW settling point’, they appeared to be fully capable of responding to other regulatory challenges, i.e., the loss of estrogens that increased BW (fat and lean body mass) and linear growth</w:t>
      </w:r>
      <w:r>
        <w:rPr>
          <w:rFonts w:ascii="Times New Roman" w:hAnsi="Times New Roman" w:cs="Times New Roman"/>
        </w:rPr>
        <w:t>”</w:t>
      </w:r>
    </w:p>
    <w:p w14:paraId="14490A3A" w14:textId="6E4BFC99" w:rsidR="003A50E6" w:rsidRDefault="003A50E6">
      <w:pPr>
        <w:rPr>
          <w:rFonts w:ascii="Times New Roman" w:hAnsi="Times New Roman" w:cs="Times New Roman"/>
        </w:rPr>
      </w:pPr>
    </w:p>
    <w:p w14:paraId="75174384" w14:textId="77777777" w:rsidR="00CC3BDA" w:rsidRPr="00CC3BDA" w:rsidRDefault="00CC3BDA" w:rsidP="000B3175">
      <w:pPr>
        <w:rPr>
          <w:rFonts w:ascii="Times New Roman" w:hAnsi="Times New Roman" w:cs="Times New Roman"/>
          <w:b/>
          <w:bCs/>
        </w:rPr>
      </w:pPr>
      <w:r w:rsidRPr="00CC3BDA">
        <w:rPr>
          <w:rFonts w:ascii="Times New Roman" w:hAnsi="Times New Roman" w:cs="Times New Roman"/>
          <w:b/>
          <w:bCs/>
        </w:rPr>
        <w:lastRenderedPageBreak/>
        <w:t xml:space="preserve">Central stress-integrative circuits: forebrain glutamatergic and GABAergic projections to the dorsomedial hypothalamus, medial preoptic area, and bed nucleus of the stria terminalis </w:t>
      </w:r>
    </w:p>
    <w:p w14:paraId="0A9E081E" w14:textId="754F0F9F" w:rsidR="000B3175" w:rsidRDefault="000B3175" w:rsidP="000B3175">
      <w:pPr>
        <w:rPr>
          <w:rFonts w:ascii="Times New Roman" w:hAnsi="Times New Roman" w:cs="Times New Roman"/>
        </w:rPr>
      </w:pPr>
      <w:r w:rsidRPr="00B57256">
        <w:rPr>
          <w:rFonts w:ascii="Times New Roman" w:hAnsi="Times New Roman" w:cs="Times New Roman"/>
        </w:rPr>
        <w:t>(</w:t>
      </w:r>
      <w:r w:rsidR="00CC3BDA">
        <w:rPr>
          <w:rFonts w:ascii="Times New Roman" w:hAnsi="Times New Roman" w:cs="Times New Roman"/>
        </w:rPr>
        <w:t>Myers at al., 2014</w:t>
      </w:r>
      <w:r w:rsidRPr="00B57256">
        <w:rPr>
          <w:rFonts w:ascii="Times New Roman" w:hAnsi="Times New Roman" w:cs="Times New Roman"/>
        </w:rPr>
        <w:t>)</w:t>
      </w:r>
    </w:p>
    <w:p w14:paraId="692478C8" w14:textId="5D5DD706" w:rsidR="00CC3BDA" w:rsidRPr="003C6E5B" w:rsidRDefault="00CC3BDA" w:rsidP="000B3175">
      <w:pPr>
        <w:rPr>
          <w:rFonts w:ascii="Times New Roman" w:hAnsi="Times New Roman" w:cs="Times New Roman"/>
          <w:highlight w:val="green"/>
        </w:rPr>
      </w:pPr>
      <w:r w:rsidRPr="003C6E5B">
        <w:rPr>
          <w:rFonts w:ascii="Times New Roman" w:hAnsi="Times New Roman" w:cs="Times New Roman"/>
          <w:highlight w:val="green"/>
        </w:rPr>
        <w:t>-</w:t>
      </w:r>
      <w:r w:rsidR="00347CEF" w:rsidRPr="003C6E5B">
        <w:rPr>
          <w:rFonts w:ascii="Times New Roman" w:hAnsi="Times New Roman" w:cs="Times New Roman"/>
          <w:highlight w:val="green"/>
        </w:rPr>
        <w:t>“Glutamatergic and GABAergic neurons play important roles in stress regulation, directly exciting and inhibiting, respectively, paraventricular hypothalamic (PVN) corticotropin releasing hormone (CRH) neurons”</w:t>
      </w:r>
    </w:p>
    <w:p w14:paraId="7C6D5886" w14:textId="062CB006" w:rsidR="00347CEF" w:rsidRPr="003C6E5B" w:rsidRDefault="00347CEF" w:rsidP="000B3175">
      <w:pPr>
        <w:rPr>
          <w:rFonts w:ascii="Times New Roman" w:hAnsi="Times New Roman" w:cs="Times New Roman"/>
          <w:highlight w:val="green"/>
        </w:rPr>
      </w:pPr>
      <w:r w:rsidRPr="003C6E5B">
        <w:rPr>
          <w:rFonts w:ascii="Times New Roman" w:hAnsi="Times New Roman" w:cs="Times New Roman"/>
          <w:highlight w:val="green"/>
        </w:rPr>
        <w:t>-DMH projects GABAergically to the PVN</w:t>
      </w:r>
    </w:p>
    <w:p w14:paraId="6ED40E8A" w14:textId="3621C7D4" w:rsidR="0097644D" w:rsidRDefault="0097644D" w:rsidP="000B3175">
      <w:pPr>
        <w:rPr>
          <w:rFonts w:ascii="Times New Roman" w:hAnsi="Times New Roman" w:cs="Times New Roman"/>
        </w:rPr>
      </w:pPr>
      <w:r w:rsidRPr="003C6E5B">
        <w:rPr>
          <w:rFonts w:ascii="Times New Roman" w:hAnsi="Times New Roman" w:cs="Times New Roman"/>
          <w:highlight w:val="green"/>
        </w:rPr>
        <w:t>-DMH projects glutamatergically to the PVN</w:t>
      </w:r>
    </w:p>
    <w:p w14:paraId="4FF80D30" w14:textId="1936293E" w:rsidR="00347CEF" w:rsidRDefault="00347CEF" w:rsidP="000B3175">
      <w:pPr>
        <w:rPr>
          <w:rFonts w:ascii="Times New Roman" w:hAnsi="Times New Roman" w:cs="Times New Roman"/>
        </w:rPr>
      </w:pPr>
      <w:r w:rsidRPr="00444080">
        <w:rPr>
          <w:rFonts w:ascii="Times New Roman" w:hAnsi="Times New Roman" w:cs="Times New Roman"/>
          <w:highlight w:val="green"/>
        </w:rPr>
        <w:t>-</w:t>
      </w:r>
      <w:r w:rsidR="00064858" w:rsidRPr="00444080">
        <w:rPr>
          <w:rFonts w:ascii="Times New Roman" w:hAnsi="Times New Roman" w:cs="Times New Roman"/>
          <w:highlight w:val="green"/>
        </w:rPr>
        <w:t>^ show pronounced activation by stress</w:t>
      </w:r>
    </w:p>
    <w:p w14:paraId="1298235F" w14:textId="5A200330" w:rsidR="00064858" w:rsidRDefault="00064858" w:rsidP="000B3175">
      <w:pPr>
        <w:rPr>
          <w:rFonts w:ascii="Times New Roman" w:hAnsi="Times New Roman" w:cs="Times New Roman"/>
        </w:rPr>
      </w:pPr>
      <w:r>
        <w:rPr>
          <w:rFonts w:ascii="Times New Roman" w:hAnsi="Times New Roman" w:cs="Times New Roman"/>
        </w:rPr>
        <w:t>-</w:t>
      </w:r>
      <w:r w:rsidR="00091F7B">
        <w:rPr>
          <w:rFonts w:ascii="Times New Roman" w:hAnsi="Times New Roman" w:cs="Times New Roman"/>
        </w:rPr>
        <w:t>“</w:t>
      </w:r>
      <w:r w:rsidR="00091F7B" w:rsidRPr="00091F7B">
        <w:rPr>
          <w:rFonts w:ascii="Times New Roman" w:hAnsi="Times New Roman" w:cs="Times New Roman"/>
        </w:rPr>
        <w:t>Descending input from the limbic forebrain is thought to influence the role of the DMH, POA, and BST in stress integration</w:t>
      </w:r>
      <w:r w:rsidR="00091F7B">
        <w:rPr>
          <w:rFonts w:ascii="Times New Roman" w:hAnsi="Times New Roman" w:cs="Times New Roman"/>
        </w:rPr>
        <w:t>”</w:t>
      </w:r>
    </w:p>
    <w:p w14:paraId="0E4F247A" w14:textId="70BAEBDD" w:rsidR="00091F7B" w:rsidRDefault="00091F7B" w:rsidP="000B3175">
      <w:pPr>
        <w:rPr>
          <w:rFonts w:ascii="Times New Roman" w:hAnsi="Times New Roman" w:cs="Times New Roman"/>
        </w:rPr>
      </w:pPr>
      <w:r>
        <w:rPr>
          <w:rFonts w:ascii="Times New Roman" w:hAnsi="Times New Roman" w:cs="Times New Roman"/>
        </w:rPr>
        <w:t>-</w:t>
      </w:r>
      <w:r w:rsidRPr="00091F7B">
        <w:rPr>
          <w:rFonts w:ascii="Times New Roman" w:hAnsi="Times New Roman" w:cs="Times New Roman"/>
        </w:rPr>
        <w:t>ventrolateral region</w:t>
      </w:r>
      <w:r>
        <w:rPr>
          <w:rFonts w:ascii="Times New Roman" w:hAnsi="Times New Roman" w:cs="Times New Roman"/>
        </w:rPr>
        <w:t xml:space="preserve"> of DMH</w:t>
      </w:r>
      <w:r w:rsidRPr="00091F7B">
        <w:rPr>
          <w:rFonts w:ascii="Times New Roman" w:hAnsi="Times New Roman" w:cs="Times New Roman"/>
        </w:rPr>
        <w:t xml:space="preserve"> sends stress-activated projections to the parvocellular PVN</w:t>
      </w:r>
    </w:p>
    <w:p w14:paraId="28121321" w14:textId="01208DC7" w:rsidR="00091F7B" w:rsidRDefault="00091F7B" w:rsidP="000B3175">
      <w:pPr>
        <w:rPr>
          <w:rFonts w:ascii="Times New Roman" w:hAnsi="Times New Roman" w:cs="Times New Roman"/>
        </w:rPr>
      </w:pPr>
      <w:r>
        <w:rPr>
          <w:rFonts w:ascii="Times New Roman" w:hAnsi="Times New Roman" w:cs="Times New Roman"/>
        </w:rPr>
        <w:t>-DMH got lots of vGluT2-psoitive input from extreme dorsal region of the PVT (paraventricular thalamus)</w:t>
      </w:r>
    </w:p>
    <w:p w14:paraId="666FC3D5" w14:textId="255F2F85" w:rsidR="00091F7B" w:rsidRDefault="00091F7B" w:rsidP="000B3175">
      <w:pPr>
        <w:rPr>
          <w:rFonts w:ascii="Times New Roman" w:hAnsi="Times New Roman" w:cs="Times New Roman"/>
        </w:rPr>
      </w:pPr>
      <w:r>
        <w:rPr>
          <w:rFonts w:ascii="Times New Roman" w:hAnsi="Times New Roman" w:cs="Times New Roman"/>
        </w:rPr>
        <w:t>-</w:t>
      </w:r>
      <w:r w:rsidR="004A73AB">
        <w:rPr>
          <w:rFonts w:ascii="Times New Roman" w:hAnsi="Times New Roman" w:cs="Times New Roman"/>
        </w:rPr>
        <w:t>input from periaqueductal gray involved dorsolateral DMH</w:t>
      </w:r>
    </w:p>
    <w:p w14:paraId="39B764DF" w14:textId="6020AFE6" w:rsidR="004A73AB" w:rsidRDefault="004A73AB" w:rsidP="000B3175">
      <w:pPr>
        <w:rPr>
          <w:rFonts w:ascii="Times New Roman" w:hAnsi="Times New Roman" w:cs="Times New Roman"/>
        </w:rPr>
      </w:pPr>
      <w:r>
        <w:rPr>
          <w:rFonts w:ascii="Times New Roman" w:hAnsi="Times New Roman" w:cs="Times New Roman"/>
        </w:rPr>
        <w:t>-GABA neurons scattered</w:t>
      </w:r>
    </w:p>
    <w:p w14:paraId="2E905875" w14:textId="1FF9144C" w:rsidR="004A73AB" w:rsidRDefault="004A73AB" w:rsidP="000B3175">
      <w:pPr>
        <w:rPr>
          <w:rFonts w:ascii="Times New Roman" w:hAnsi="Times New Roman" w:cs="Times New Roman"/>
        </w:rPr>
      </w:pPr>
      <w:r>
        <w:rPr>
          <w:rFonts w:ascii="Times New Roman" w:hAnsi="Times New Roman" w:cs="Times New Roman"/>
        </w:rPr>
        <w:t>-“</w:t>
      </w:r>
      <w:r w:rsidRPr="003C6E5B">
        <w:rPr>
          <w:rFonts w:ascii="Times New Roman" w:hAnsi="Times New Roman" w:cs="Times New Roman"/>
          <w:highlight w:val="green"/>
        </w:rPr>
        <w:t xml:space="preserve">innervation of the predominantly GABAergic DMH, </w:t>
      </w:r>
      <w:proofErr w:type="spellStart"/>
      <w:r w:rsidRPr="003C6E5B">
        <w:rPr>
          <w:rFonts w:ascii="Times New Roman" w:hAnsi="Times New Roman" w:cs="Times New Roman"/>
          <w:highlight w:val="green"/>
        </w:rPr>
        <w:t>mPOA</w:t>
      </w:r>
      <w:proofErr w:type="spellEnd"/>
      <w:r w:rsidRPr="003C6E5B">
        <w:rPr>
          <w:rFonts w:ascii="Times New Roman" w:hAnsi="Times New Roman" w:cs="Times New Roman"/>
          <w:highlight w:val="green"/>
        </w:rPr>
        <w:t xml:space="preserve">, and BST by GABAergic neurons of the </w:t>
      </w:r>
      <w:proofErr w:type="spellStart"/>
      <w:r w:rsidRPr="003C6E5B">
        <w:rPr>
          <w:rFonts w:ascii="Times New Roman" w:hAnsi="Times New Roman" w:cs="Times New Roman"/>
          <w:highlight w:val="green"/>
        </w:rPr>
        <w:t>MeA</w:t>
      </w:r>
      <w:proofErr w:type="spellEnd"/>
      <w:r w:rsidRPr="003C6E5B">
        <w:rPr>
          <w:rFonts w:ascii="Times New Roman" w:hAnsi="Times New Roman" w:cs="Times New Roman"/>
          <w:highlight w:val="green"/>
        </w:rPr>
        <w:t xml:space="preserve"> and </w:t>
      </w:r>
      <w:proofErr w:type="spellStart"/>
      <w:r w:rsidRPr="003C6E5B">
        <w:rPr>
          <w:rFonts w:ascii="Times New Roman" w:hAnsi="Times New Roman" w:cs="Times New Roman"/>
          <w:highlight w:val="green"/>
        </w:rPr>
        <w:t>CeA</w:t>
      </w:r>
      <w:proofErr w:type="spellEnd"/>
      <w:r w:rsidRPr="004A73AB">
        <w:rPr>
          <w:rFonts w:ascii="Times New Roman" w:hAnsi="Times New Roman" w:cs="Times New Roman"/>
        </w:rPr>
        <w:t xml:space="preserve"> supports the hypothesis that these </w:t>
      </w:r>
      <w:proofErr w:type="spellStart"/>
      <w:r w:rsidRPr="004A73AB">
        <w:rPr>
          <w:rFonts w:ascii="Times New Roman" w:hAnsi="Times New Roman" w:cs="Times New Roman"/>
        </w:rPr>
        <w:t>amygdalar</w:t>
      </w:r>
      <w:proofErr w:type="spellEnd"/>
      <w:r w:rsidRPr="004A73AB">
        <w:rPr>
          <w:rFonts w:ascii="Times New Roman" w:hAnsi="Times New Roman" w:cs="Times New Roman"/>
        </w:rPr>
        <w:t xml:space="preserve"> regions promote HPA axis activation by disinhibition, using sequential GABAergic synapses.</w:t>
      </w:r>
      <w:r>
        <w:rPr>
          <w:rFonts w:ascii="Times New Roman" w:hAnsi="Times New Roman" w:cs="Times New Roman"/>
        </w:rPr>
        <w:t>”</w:t>
      </w:r>
    </w:p>
    <w:p w14:paraId="7102277D" w14:textId="4D2C86F1" w:rsidR="004A73AB" w:rsidRDefault="004A73AB" w:rsidP="000B3175">
      <w:pPr>
        <w:rPr>
          <w:rFonts w:ascii="Times New Roman" w:hAnsi="Times New Roman" w:cs="Times New Roman"/>
        </w:rPr>
      </w:pPr>
      <w:r>
        <w:rPr>
          <w:rFonts w:ascii="Times New Roman" w:hAnsi="Times New Roman" w:cs="Times New Roman"/>
        </w:rPr>
        <w:t>-“</w:t>
      </w:r>
      <w:r w:rsidRPr="004A73AB">
        <w:rPr>
          <w:rFonts w:ascii="Times New Roman" w:hAnsi="Times New Roman" w:cs="Times New Roman"/>
        </w:rPr>
        <w:t xml:space="preserve">In contrast, there is evidence for excitatory innervation of the DMH, </w:t>
      </w:r>
      <w:proofErr w:type="spellStart"/>
      <w:r w:rsidRPr="004A73AB">
        <w:rPr>
          <w:rFonts w:ascii="Times New Roman" w:hAnsi="Times New Roman" w:cs="Times New Roman"/>
        </w:rPr>
        <w:t>mPOA</w:t>
      </w:r>
      <w:proofErr w:type="spellEnd"/>
      <w:r w:rsidRPr="004A73AB">
        <w:rPr>
          <w:rFonts w:ascii="Times New Roman" w:hAnsi="Times New Roman" w:cs="Times New Roman"/>
        </w:rPr>
        <w:t xml:space="preserve">, and </w:t>
      </w:r>
      <w:r w:rsidRPr="00626D94">
        <w:rPr>
          <w:rFonts w:ascii="Times New Roman" w:hAnsi="Times New Roman" w:cs="Times New Roman"/>
          <w:highlight w:val="green"/>
        </w:rPr>
        <w:t>BST by hippocampal and prefrontal cortical neurons</w:t>
      </w:r>
      <w:r w:rsidRPr="004A73AB">
        <w:rPr>
          <w:rFonts w:ascii="Times New Roman" w:hAnsi="Times New Roman" w:cs="Times New Roman"/>
        </w:rPr>
        <w:t>, consistent with the glutamatergic signature of outputs from these stress-inhibitory sites.</w:t>
      </w:r>
      <w:r>
        <w:rPr>
          <w:rFonts w:ascii="Times New Roman" w:hAnsi="Times New Roman" w:cs="Times New Roman"/>
        </w:rPr>
        <w:t>”</w:t>
      </w:r>
    </w:p>
    <w:p w14:paraId="325E7465" w14:textId="1F7D32FA" w:rsidR="004A73AB" w:rsidRDefault="004A73AB" w:rsidP="000B3175">
      <w:pPr>
        <w:rPr>
          <w:rFonts w:ascii="Times New Roman" w:hAnsi="Times New Roman" w:cs="Times New Roman"/>
        </w:rPr>
      </w:pPr>
      <w:r>
        <w:rPr>
          <w:rFonts w:ascii="Times New Roman" w:hAnsi="Times New Roman" w:cs="Times New Roman"/>
        </w:rPr>
        <w:t>-“</w:t>
      </w:r>
      <w:r w:rsidRPr="004A73AB">
        <w:rPr>
          <w:rFonts w:ascii="Times New Roman" w:hAnsi="Times New Roman" w:cs="Times New Roman"/>
        </w:rPr>
        <w:t xml:space="preserve">all three PVN-projecting regions receive mixed GABA and glutamate input from hypothalamic nuclei which may be relevant to </w:t>
      </w:r>
      <w:r w:rsidRPr="00EC3B43">
        <w:rPr>
          <w:rFonts w:ascii="Times New Roman" w:hAnsi="Times New Roman" w:cs="Times New Roman"/>
          <w:highlight w:val="green"/>
        </w:rPr>
        <w:t>intra-hypothalamic</w:t>
      </w:r>
      <w:r w:rsidRPr="004A73AB">
        <w:rPr>
          <w:rFonts w:ascii="Times New Roman" w:hAnsi="Times New Roman" w:cs="Times New Roman"/>
        </w:rPr>
        <w:t xml:space="preserve"> mechanisms governing the integration of stress responses.</w:t>
      </w:r>
      <w:r>
        <w:rPr>
          <w:rFonts w:ascii="Times New Roman" w:hAnsi="Times New Roman" w:cs="Times New Roman"/>
        </w:rPr>
        <w:t>”</w:t>
      </w:r>
    </w:p>
    <w:p w14:paraId="66223DFE" w14:textId="0397AC48" w:rsidR="004A73AB" w:rsidRDefault="004A73AB" w:rsidP="000B3175">
      <w:pPr>
        <w:rPr>
          <w:rFonts w:ascii="Times New Roman" w:hAnsi="Times New Roman" w:cs="Times New Roman"/>
        </w:rPr>
      </w:pPr>
      <w:r w:rsidRPr="006B4902">
        <w:rPr>
          <w:rFonts w:ascii="Times New Roman" w:hAnsi="Times New Roman" w:cs="Times New Roman"/>
          <w:highlight w:val="green"/>
        </w:rPr>
        <w:t>-“As an upstream regulator of the PVN, the DMH is highly sensitive to psychogenic stressors”</w:t>
      </w:r>
    </w:p>
    <w:p w14:paraId="114496E5" w14:textId="1F19F0D7" w:rsidR="004A73AB" w:rsidRDefault="004A73AB" w:rsidP="000B3175">
      <w:pPr>
        <w:rPr>
          <w:rFonts w:ascii="Times New Roman" w:hAnsi="Times New Roman" w:cs="Times New Roman"/>
        </w:rPr>
      </w:pPr>
      <w:r w:rsidRPr="006B4902">
        <w:rPr>
          <w:rFonts w:ascii="Times New Roman" w:hAnsi="Times New Roman" w:cs="Times New Roman"/>
          <w:highlight w:val="green"/>
        </w:rPr>
        <w:t>-“With regard to HPA axis integration, the ventrolateral subdivision of the DMH sends stress-activated GABAergic projections to the PVN”</w:t>
      </w:r>
    </w:p>
    <w:p w14:paraId="4887A1EB" w14:textId="6B83F278" w:rsidR="004A73AB" w:rsidRDefault="004A73AB" w:rsidP="004A73AB">
      <w:pPr>
        <w:rPr>
          <w:rFonts w:ascii="Times New Roman" w:hAnsi="Times New Roman" w:cs="Times New Roman"/>
        </w:rPr>
      </w:pPr>
      <w:r>
        <w:rPr>
          <w:rFonts w:ascii="Times New Roman" w:hAnsi="Times New Roman" w:cs="Times New Roman"/>
        </w:rPr>
        <w:t>-“</w:t>
      </w:r>
      <w:r w:rsidRPr="004A73AB">
        <w:rPr>
          <w:rFonts w:ascii="Times New Roman" w:hAnsi="Times New Roman" w:cs="Times New Roman"/>
        </w:rPr>
        <w:t>The vast majority of these PVN-projecting neurons contain GAD65, indicating that this is likely a stress-inhibitory region of the DMH. In contrast, the dorsomedial portion of the DMH predominantly expresses vGluT2 and provides</w:t>
      </w:r>
      <w:r>
        <w:rPr>
          <w:rFonts w:ascii="Times New Roman" w:hAnsi="Times New Roman" w:cs="Times New Roman"/>
        </w:rPr>
        <w:t xml:space="preserve"> </w:t>
      </w:r>
      <w:r w:rsidRPr="004A73AB">
        <w:rPr>
          <w:rFonts w:ascii="Times New Roman" w:hAnsi="Times New Roman" w:cs="Times New Roman"/>
        </w:rPr>
        <w:t>glutamatergic innervation of the PVN</w:t>
      </w:r>
      <w:r>
        <w:rPr>
          <w:rFonts w:ascii="Times New Roman" w:hAnsi="Times New Roman" w:cs="Times New Roman"/>
        </w:rPr>
        <w:t>”</w:t>
      </w:r>
    </w:p>
    <w:p w14:paraId="710893D2" w14:textId="1551FE61" w:rsidR="004A73AB" w:rsidRDefault="004A73AB" w:rsidP="004A73AB">
      <w:pPr>
        <w:rPr>
          <w:rFonts w:ascii="Times New Roman" w:hAnsi="Times New Roman" w:cs="Times New Roman"/>
        </w:rPr>
      </w:pPr>
      <w:r>
        <w:rPr>
          <w:rFonts w:ascii="Times New Roman" w:hAnsi="Times New Roman" w:cs="Times New Roman"/>
        </w:rPr>
        <w:lastRenderedPageBreak/>
        <w:t>-“</w:t>
      </w:r>
      <w:r w:rsidRPr="004A73AB">
        <w:rPr>
          <w:rFonts w:ascii="Times New Roman" w:hAnsi="Times New Roman" w:cs="Times New Roman"/>
        </w:rPr>
        <w:t xml:space="preserve">Our group has demonstrated that local injection of a </w:t>
      </w:r>
      <w:proofErr w:type="spellStart"/>
      <w:r w:rsidRPr="004A73AB">
        <w:rPr>
          <w:rFonts w:ascii="Times New Roman" w:hAnsi="Times New Roman" w:cs="Times New Roman"/>
        </w:rPr>
        <w:t>panionotropic</w:t>
      </w:r>
      <w:proofErr w:type="spellEnd"/>
      <w:r w:rsidRPr="004A73AB">
        <w:rPr>
          <w:rFonts w:ascii="Times New Roman" w:hAnsi="Times New Roman" w:cs="Times New Roman"/>
        </w:rPr>
        <w:t xml:space="preserve"> glutamate receptor antagonist into the DMH enhances corticosteroid responses to restraint stress</w:t>
      </w:r>
      <w:r>
        <w:rPr>
          <w:rFonts w:ascii="Times New Roman" w:hAnsi="Times New Roman" w:cs="Times New Roman"/>
        </w:rPr>
        <w:t>”</w:t>
      </w:r>
    </w:p>
    <w:p w14:paraId="4A5C4FCD" w14:textId="451664BD" w:rsidR="004A73AB" w:rsidRDefault="004A73AB" w:rsidP="004A73AB">
      <w:pPr>
        <w:rPr>
          <w:rFonts w:ascii="Times New Roman" w:hAnsi="Times New Roman" w:cs="Times New Roman"/>
        </w:rPr>
      </w:pPr>
      <w:r w:rsidRPr="00A46C24">
        <w:rPr>
          <w:rFonts w:ascii="Times New Roman" w:hAnsi="Times New Roman" w:cs="Times New Roman"/>
          <w:highlight w:val="green"/>
        </w:rPr>
        <w:t>-“</w:t>
      </w:r>
      <w:proofErr w:type="spellStart"/>
      <w:r w:rsidRPr="00A46C24">
        <w:rPr>
          <w:rFonts w:ascii="Times New Roman" w:hAnsi="Times New Roman" w:cs="Times New Roman"/>
          <w:highlight w:val="green"/>
        </w:rPr>
        <w:t>Microstimulation</w:t>
      </w:r>
      <w:proofErr w:type="spellEnd"/>
      <w:r w:rsidRPr="00A46C24">
        <w:rPr>
          <w:rFonts w:ascii="Times New Roman" w:hAnsi="Times New Roman" w:cs="Times New Roman"/>
          <w:highlight w:val="green"/>
        </w:rPr>
        <w:t xml:space="preserve"> of the dorsal component of the DMH results in an increase in ACTH release while inhibition has the opposite effect”</w:t>
      </w:r>
    </w:p>
    <w:p w14:paraId="78FB8215" w14:textId="2E30A760" w:rsidR="00803ED0" w:rsidRDefault="00803ED0" w:rsidP="004A73AB">
      <w:pPr>
        <w:rPr>
          <w:rFonts w:ascii="Times New Roman" w:hAnsi="Times New Roman" w:cs="Times New Roman"/>
        </w:rPr>
      </w:pPr>
      <w:r w:rsidRPr="00F37CF5">
        <w:rPr>
          <w:rFonts w:ascii="Times New Roman" w:hAnsi="Times New Roman" w:cs="Times New Roman"/>
          <w:highlight w:val="green"/>
        </w:rPr>
        <w:t>-ventrolateral DMH = GABA projections to PVN</w:t>
      </w:r>
    </w:p>
    <w:p w14:paraId="44B5C8B5" w14:textId="19DE81D5" w:rsidR="00803ED0" w:rsidRDefault="00803ED0" w:rsidP="004A73AB">
      <w:pPr>
        <w:rPr>
          <w:rFonts w:ascii="Times New Roman" w:hAnsi="Times New Roman" w:cs="Times New Roman"/>
        </w:rPr>
      </w:pPr>
      <w:r w:rsidRPr="00F37CF5">
        <w:rPr>
          <w:rFonts w:ascii="Times New Roman" w:hAnsi="Times New Roman" w:cs="Times New Roman"/>
          <w:highlight w:val="green"/>
        </w:rPr>
        <w:t>-dorsomedial DMH = glutamatergic projections to the PVN</w:t>
      </w:r>
    </w:p>
    <w:p w14:paraId="4057FDFB" w14:textId="56679062" w:rsidR="00091F7B" w:rsidRDefault="00F9679B" w:rsidP="000B3175">
      <w:pPr>
        <w:rPr>
          <w:rFonts w:ascii="Times New Roman" w:hAnsi="Times New Roman" w:cs="Times New Roman"/>
        </w:rPr>
      </w:pPr>
      <w:r>
        <w:rPr>
          <w:rFonts w:ascii="Times New Roman" w:hAnsi="Times New Roman" w:cs="Times New Roman"/>
        </w:rPr>
        <w:t>-</w:t>
      </w:r>
      <w:r>
        <w:rPr>
          <w:rFonts w:ascii="Times New Roman" w:hAnsi="Times New Roman" w:cs="Times New Roman"/>
          <w:noProof/>
        </w:rPr>
        <w:drawing>
          <wp:inline distT="0" distB="0" distL="0" distR="0" wp14:anchorId="61FE81E0" wp14:editId="5E1ADDA3">
            <wp:extent cx="3600317" cy="2971800"/>
            <wp:effectExtent l="0" t="0" r="0" b="0"/>
            <wp:docPr id="95571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12164" name="Picture 95571216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8037" cy="2986427"/>
                    </a:xfrm>
                    <a:prstGeom prst="rect">
                      <a:avLst/>
                    </a:prstGeom>
                  </pic:spPr>
                </pic:pic>
              </a:graphicData>
            </a:graphic>
          </wp:inline>
        </w:drawing>
      </w:r>
    </w:p>
    <w:p w14:paraId="6C7E3103" w14:textId="56D848C9" w:rsidR="000A219A" w:rsidRDefault="000A219A" w:rsidP="000A219A">
      <w:pPr>
        <w:rPr>
          <w:rFonts w:ascii="Times New Roman" w:hAnsi="Times New Roman" w:cs="Times New Roman"/>
        </w:rPr>
      </w:pPr>
    </w:p>
    <w:p w14:paraId="3353BF29" w14:textId="77777777" w:rsidR="000C5D32" w:rsidRDefault="000C5D32" w:rsidP="000A219A">
      <w:pPr>
        <w:rPr>
          <w:rFonts w:ascii="Times New Roman" w:hAnsi="Times New Roman" w:cs="Times New Roman"/>
          <w:b/>
          <w:bCs/>
        </w:rPr>
      </w:pPr>
    </w:p>
    <w:p w14:paraId="64FF6DCB" w14:textId="3BEDF81A" w:rsidR="000C5D32" w:rsidRPr="000C5D32" w:rsidRDefault="000C5D32" w:rsidP="000A219A">
      <w:pPr>
        <w:rPr>
          <w:rFonts w:ascii="Times New Roman" w:hAnsi="Times New Roman" w:cs="Times New Roman"/>
          <w:b/>
          <w:bCs/>
        </w:rPr>
      </w:pPr>
      <w:r w:rsidRPr="000C5D32">
        <w:rPr>
          <w:rFonts w:ascii="Times New Roman" w:hAnsi="Times New Roman" w:cs="Times New Roman"/>
          <w:b/>
          <w:bCs/>
        </w:rPr>
        <w:t>The dorsomedial hypothalamus and the response to stress: Part renaissance, part revolution</w:t>
      </w:r>
    </w:p>
    <w:p w14:paraId="25713EB2" w14:textId="3972A07D" w:rsidR="000C5D32" w:rsidRDefault="000C5D32" w:rsidP="000A219A">
      <w:pPr>
        <w:rPr>
          <w:rFonts w:ascii="Times New Roman" w:hAnsi="Times New Roman" w:cs="Times New Roman"/>
        </w:rPr>
      </w:pPr>
      <w:r>
        <w:rPr>
          <w:rFonts w:ascii="Times New Roman" w:hAnsi="Times New Roman" w:cs="Times New Roman"/>
        </w:rPr>
        <w:t>(</w:t>
      </w:r>
      <w:r w:rsidRPr="000C5D32">
        <w:rPr>
          <w:rFonts w:ascii="Times New Roman" w:hAnsi="Times New Roman" w:cs="Times New Roman"/>
        </w:rPr>
        <w:t>DiMicco</w:t>
      </w:r>
      <w:r>
        <w:rPr>
          <w:rFonts w:ascii="Times New Roman" w:hAnsi="Times New Roman" w:cs="Times New Roman"/>
        </w:rPr>
        <w:t xml:space="preserve"> et al., 2002)</w:t>
      </w:r>
    </w:p>
    <w:p w14:paraId="41CFDE48" w14:textId="14A87369" w:rsidR="000C5D32" w:rsidRDefault="000C5D32" w:rsidP="000A219A">
      <w:pPr>
        <w:rPr>
          <w:rFonts w:ascii="Times New Roman" w:hAnsi="Times New Roman" w:cs="Times New Roman"/>
        </w:rPr>
      </w:pPr>
      <w:r>
        <w:rPr>
          <w:rFonts w:ascii="Times New Roman" w:hAnsi="Times New Roman" w:cs="Times New Roman"/>
        </w:rPr>
        <w:t>-</w:t>
      </w:r>
      <w:r w:rsidR="00087DF1">
        <w:rPr>
          <w:rFonts w:ascii="Times New Roman" w:hAnsi="Times New Roman" w:cs="Times New Roman"/>
        </w:rPr>
        <w:t>“</w:t>
      </w:r>
      <w:r w:rsidR="00087DF1" w:rsidRPr="00087DF1">
        <w:t xml:space="preserve"> </w:t>
      </w:r>
      <w:r w:rsidR="00087DF1" w:rsidRPr="00087DF1">
        <w:rPr>
          <w:rFonts w:ascii="Times New Roman" w:hAnsi="Times New Roman" w:cs="Times New Roman"/>
        </w:rPr>
        <w:t>The physiological response to emotional stress consists of an integrated pattern of endocrine and autonomic changes that is highly conserved across mammalian species.</w:t>
      </w:r>
      <w:r w:rsidR="00087DF1">
        <w:rPr>
          <w:rFonts w:ascii="Times New Roman" w:hAnsi="Times New Roman" w:cs="Times New Roman"/>
        </w:rPr>
        <w:t>”</w:t>
      </w:r>
    </w:p>
    <w:p w14:paraId="117AC826" w14:textId="44EBF077" w:rsidR="00087DF1" w:rsidRDefault="00087DF1" w:rsidP="000A219A">
      <w:pPr>
        <w:rPr>
          <w:rFonts w:ascii="Times New Roman" w:hAnsi="Times New Roman" w:cs="Times New Roman"/>
        </w:rPr>
      </w:pPr>
      <w:r>
        <w:rPr>
          <w:rFonts w:ascii="Times New Roman" w:hAnsi="Times New Roman" w:cs="Times New Roman"/>
        </w:rPr>
        <w:t xml:space="preserve">-picrotoxin (block </w:t>
      </w:r>
      <w:proofErr w:type="spellStart"/>
      <w:r>
        <w:rPr>
          <w:rFonts w:ascii="Times New Roman" w:hAnsi="Times New Roman" w:cs="Times New Roman"/>
        </w:rPr>
        <w:t>GABAa</w:t>
      </w:r>
      <w:proofErr w:type="spellEnd"/>
      <w:r>
        <w:rPr>
          <w:rFonts w:ascii="Times New Roman" w:hAnsi="Times New Roman" w:cs="Times New Roman"/>
        </w:rPr>
        <w:t>) increases HR, sympathetic activity, and plasma catecholamines</w:t>
      </w:r>
    </w:p>
    <w:p w14:paraId="67F8F6B0" w14:textId="1B8D7FD5" w:rsidR="00087DF1" w:rsidRDefault="00087DF1" w:rsidP="000A219A">
      <w:pPr>
        <w:rPr>
          <w:rFonts w:ascii="Times New Roman" w:hAnsi="Times New Roman" w:cs="Times New Roman"/>
        </w:rPr>
      </w:pPr>
      <w:r>
        <w:rPr>
          <w:rFonts w:ascii="Times New Roman" w:hAnsi="Times New Roman" w:cs="Times New Roman"/>
        </w:rPr>
        <w:t>-</w:t>
      </w:r>
      <w:r w:rsidR="00602532">
        <w:rPr>
          <w:rFonts w:ascii="Times New Roman" w:hAnsi="Times New Roman" w:cs="Times New Roman"/>
        </w:rPr>
        <w:t>same thing^ if you add microinjections of excitatory amino acids</w:t>
      </w:r>
    </w:p>
    <w:p w14:paraId="7E5F8800" w14:textId="7384C24C" w:rsidR="00602532" w:rsidRDefault="00602532" w:rsidP="000A219A">
      <w:pPr>
        <w:rPr>
          <w:rFonts w:ascii="Times New Roman" w:hAnsi="Times New Roman" w:cs="Times New Roman"/>
        </w:rPr>
      </w:pPr>
      <w:r>
        <w:rPr>
          <w:rFonts w:ascii="Times New Roman" w:hAnsi="Times New Roman" w:cs="Times New Roman"/>
        </w:rPr>
        <w:t>-disinhibition of DMH neurons = classic defence reaction (sympathetic)</w:t>
      </w:r>
    </w:p>
    <w:p w14:paraId="048119B6" w14:textId="4916FFDC" w:rsidR="00602532" w:rsidRPr="00B57256" w:rsidRDefault="00602532" w:rsidP="000A219A">
      <w:pPr>
        <w:rPr>
          <w:rFonts w:ascii="Times New Roman" w:hAnsi="Times New Roman" w:cs="Times New Roman"/>
        </w:rPr>
      </w:pPr>
    </w:p>
    <w:sectPr w:rsidR="00602532" w:rsidRPr="00B57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77"/>
    <w:rsid w:val="00064858"/>
    <w:rsid w:val="00087DF1"/>
    <w:rsid w:val="00091F7B"/>
    <w:rsid w:val="000A219A"/>
    <w:rsid w:val="000B3175"/>
    <w:rsid w:val="000C5D32"/>
    <w:rsid w:val="00101593"/>
    <w:rsid w:val="001C2BA9"/>
    <w:rsid w:val="001F08BD"/>
    <w:rsid w:val="002B5474"/>
    <w:rsid w:val="00347CEF"/>
    <w:rsid w:val="00385A7A"/>
    <w:rsid w:val="003A50E6"/>
    <w:rsid w:val="003C6E5B"/>
    <w:rsid w:val="00444080"/>
    <w:rsid w:val="004A73AB"/>
    <w:rsid w:val="00510426"/>
    <w:rsid w:val="00602532"/>
    <w:rsid w:val="00626D94"/>
    <w:rsid w:val="006B4902"/>
    <w:rsid w:val="006E759B"/>
    <w:rsid w:val="00796480"/>
    <w:rsid w:val="00803ED0"/>
    <w:rsid w:val="008E41D6"/>
    <w:rsid w:val="0097644D"/>
    <w:rsid w:val="00A46C24"/>
    <w:rsid w:val="00A57711"/>
    <w:rsid w:val="00B57256"/>
    <w:rsid w:val="00BA5714"/>
    <w:rsid w:val="00C81D91"/>
    <w:rsid w:val="00CC3BDA"/>
    <w:rsid w:val="00E70BC6"/>
    <w:rsid w:val="00E77277"/>
    <w:rsid w:val="00EC3B43"/>
    <w:rsid w:val="00F37CF5"/>
    <w:rsid w:val="00F51AAC"/>
    <w:rsid w:val="00F63DEE"/>
    <w:rsid w:val="00F9679B"/>
    <w:rsid w:val="00FD51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910724"/>
  <w15:chartTrackingRefBased/>
  <w15:docId w15:val="{6120708F-C879-0549-8C33-DB9C8FF0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277"/>
    <w:rPr>
      <w:rFonts w:eastAsiaTheme="majorEastAsia" w:cstheme="majorBidi"/>
      <w:color w:val="272727" w:themeColor="text1" w:themeTint="D8"/>
    </w:rPr>
  </w:style>
  <w:style w:type="paragraph" w:styleId="Title">
    <w:name w:val="Title"/>
    <w:basedOn w:val="Normal"/>
    <w:next w:val="Normal"/>
    <w:link w:val="TitleChar"/>
    <w:uiPriority w:val="10"/>
    <w:qFormat/>
    <w:rsid w:val="00E77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277"/>
    <w:pPr>
      <w:spacing w:before="160"/>
      <w:jc w:val="center"/>
    </w:pPr>
    <w:rPr>
      <w:i/>
      <w:iCs/>
      <w:color w:val="404040" w:themeColor="text1" w:themeTint="BF"/>
    </w:rPr>
  </w:style>
  <w:style w:type="character" w:customStyle="1" w:styleId="QuoteChar">
    <w:name w:val="Quote Char"/>
    <w:basedOn w:val="DefaultParagraphFont"/>
    <w:link w:val="Quote"/>
    <w:uiPriority w:val="29"/>
    <w:rsid w:val="00E77277"/>
    <w:rPr>
      <w:i/>
      <w:iCs/>
      <w:color w:val="404040" w:themeColor="text1" w:themeTint="BF"/>
    </w:rPr>
  </w:style>
  <w:style w:type="paragraph" w:styleId="ListParagraph">
    <w:name w:val="List Paragraph"/>
    <w:basedOn w:val="Normal"/>
    <w:uiPriority w:val="34"/>
    <w:qFormat/>
    <w:rsid w:val="00E77277"/>
    <w:pPr>
      <w:ind w:left="720"/>
      <w:contextualSpacing/>
    </w:pPr>
  </w:style>
  <w:style w:type="character" w:styleId="IntenseEmphasis">
    <w:name w:val="Intense Emphasis"/>
    <w:basedOn w:val="DefaultParagraphFont"/>
    <w:uiPriority w:val="21"/>
    <w:qFormat/>
    <w:rsid w:val="00E77277"/>
    <w:rPr>
      <w:i/>
      <w:iCs/>
      <w:color w:val="0F4761" w:themeColor="accent1" w:themeShade="BF"/>
    </w:rPr>
  </w:style>
  <w:style w:type="paragraph" w:styleId="IntenseQuote">
    <w:name w:val="Intense Quote"/>
    <w:basedOn w:val="Normal"/>
    <w:next w:val="Normal"/>
    <w:link w:val="IntenseQuoteChar"/>
    <w:uiPriority w:val="30"/>
    <w:qFormat/>
    <w:rsid w:val="00E77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277"/>
    <w:rPr>
      <w:i/>
      <w:iCs/>
      <w:color w:val="0F4761" w:themeColor="accent1" w:themeShade="BF"/>
    </w:rPr>
  </w:style>
  <w:style w:type="character" w:styleId="IntenseReference">
    <w:name w:val="Intense Reference"/>
    <w:basedOn w:val="DefaultParagraphFont"/>
    <w:uiPriority w:val="32"/>
    <w:qFormat/>
    <w:rsid w:val="00E772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Ruby Muzzatti</cp:lastModifiedBy>
  <cp:revision>29</cp:revision>
  <dcterms:created xsi:type="dcterms:W3CDTF">2025-07-16T14:19:00Z</dcterms:created>
  <dcterms:modified xsi:type="dcterms:W3CDTF">2025-07-22T19:52:00Z</dcterms:modified>
</cp:coreProperties>
</file>