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6"/>
        </w:pBdr>
        <w:spacing w:after="60"/>
      </w:pPr>
      <w:r>
        <w:rPr>
          <w:b/>
          <w:bCs/>
          <w:color w:val="1F3864"/>
          <w:sz w:val="34"/>
          <w:szCs w:val="34"/>
        </w:rPr>
        <w:t xml:space="preserve">Registratieformulieren</w:t>
      </w:r>
    </w:p>
    <w:p>
      <w:pPr>
        <w:spacing w:after="260"/>
      </w:pPr>
      <w:r>
        <w:rPr>
          <w:i/>
          <w:iCs/>
          <w:color w:val="555555"/>
          <w:sz w:val="19"/>
          <w:szCs w:val="19"/>
        </w:rPr>
        <w:t xml:space="preserve">PVI Clinic B.V. · voorraadcontrole, temperatuurregistratie en overleg · opgesteld 26-07-2026</w:t>
      </w:r>
    </w:p>
    <w:p>
      <w:pPr>
        <w:spacing w:after="120"/>
      </w:pPr>
      <w:r>
        <w:t xml:space="preserve">Een registratie telt als bewijs wanneer zij is vastgelegd op het moment van de handeling en herleidbaar is naar wanneer, wie en wat. Die drie samen maken het een record. Nooit terugdateren: een auditor die één gereconstrueerd document betrapt, herbeoordeelt het hele dossier op betrouwbaarheid.</w:t>
      </w:r>
    </w:p>
    <w:p>
      <w:pPr>
        <w:pStyle w:val="Heading1"/>
        <w:spacing w:after="160" w:before="240"/>
      </w:pPr>
      <w:r>
        <w:t xml:space="preserve">1 · Voorraadcontrole houdbaarheid</w:t>
      </w:r>
    </w:p>
    <w:p>
      <w:pPr>
        <w:spacing w:after="120"/>
      </w:pPr>
      <w:r>
        <w:t xml:space="preserve">Norm: §8.5.4 preservering · §10.2 doeltreffendheid corrigerende maatregel</w:t>
      </w:r>
    </w:p>
    <w:p>
      <w:pPr>
        <w:spacing w:after="120"/>
      </w:pPr>
      <w:r>
        <w:t xml:space="preserve">Datum: ______________     Uitgevoerd door: ______________     Locatie: ______________</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1123"/>
        <w:gridCol w:w="1872"/>
        <w:gridCol w:w="2434"/>
      </w:tblGrid>
      <w:tr>
        <w:trPr>
          <w:tblHeader/>
        </w:trPr>
        <w:tc>
          <w:tcPr>
            <w:tcW w:type="dxa" w:w="2246"/>
            <w:shd w:fill="EFEFEF" w:color="auto" w:val="clear"/>
            <w:tcMar>
              <w:top w:type="dxa" w:w="60"/>
              <w:left w:type="dxa" w:w="100"/>
              <w:bottom w:type="dxa" w:w="60"/>
              <w:right w:type="dxa" w:w="100"/>
            </w:tcMar>
          </w:tcPr>
          <w:p>
            <w:pPr>
              <w:spacing w:after="0"/>
            </w:pPr>
            <w:r>
              <w:rPr>
                <w:b/>
                <w:bCs/>
                <w:sz w:val="19"/>
                <w:szCs w:val="19"/>
              </w:rPr>
              <w:t xml:space="preserve">Categorie</w:t>
            </w:r>
          </w:p>
        </w:tc>
        <w:tc>
          <w:tcPr>
            <w:tcW w:type="dxa" w:w="1685"/>
            <w:shd w:fill="EFEFEF" w:color="auto" w:val="clear"/>
            <w:tcMar>
              <w:top w:type="dxa" w:w="60"/>
              <w:left w:type="dxa" w:w="100"/>
              <w:bottom w:type="dxa" w:w="60"/>
              <w:right w:type="dxa" w:w="100"/>
            </w:tcMar>
          </w:tcPr>
          <w:p>
            <w:pPr>
              <w:spacing w:after="0"/>
            </w:pPr>
            <w:r>
              <w:rPr>
                <w:b/>
                <w:bCs/>
                <w:sz w:val="19"/>
                <w:szCs w:val="19"/>
              </w:rPr>
              <w:t xml:space="preserve">Aantal gecontroleerd</w:t>
            </w:r>
          </w:p>
        </w:tc>
        <w:tc>
          <w:tcPr>
            <w:tcW w:type="dxa" w:w="1123"/>
            <w:shd w:fill="EFEFEF" w:color="auto" w:val="clear"/>
            <w:tcMar>
              <w:top w:type="dxa" w:w="60"/>
              <w:left w:type="dxa" w:w="100"/>
              <w:bottom w:type="dxa" w:w="60"/>
              <w:right w:type="dxa" w:w="100"/>
            </w:tcMar>
          </w:tcPr>
          <w:p>
            <w:pPr>
              <w:spacing w:after="0"/>
            </w:pPr>
            <w:r>
              <w:rPr>
                <w:b/>
                <w:bCs/>
                <w:sz w:val="19"/>
                <w:szCs w:val="19"/>
              </w:rPr>
              <w:t xml:space="preserve">Verlopen</w:t>
            </w:r>
          </w:p>
        </w:tc>
        <w:tc>
          <w:tcPr>
            <w:tcW w:type="dxa" w:w="1872"/>
            <w:shd w:fill="EFEFEF" w:color="auto" w:val="clear"/>
            <w:tcMar>
              <w:top w:type="dxa" w:w="60"/>
              <w:left w:type="dxa" w:w="100"/>
              <w:bottom w:type="dxa" w:w="60"/>
              <w:right w:type="dxa" w:w="100"/>
            </w:tcMar>
          </w:tcPr>
          <w:p>
            <w:pPr>
              <w:spacing w:after="0"/>
            </w:pPr>
            <w:r>
              <w:rPr>
                <w:b/>
                <w:bCs/>
                <w:sz w:val="19"/>
                <w:szCs w:val="19"/>
              </w:rPr>
              <w:t xml:space="preserve">Binnen 3 mnd verlopend</w:t>
            </w:r>
          </w:p>
        </w:tc>
        <w:tc>
          <w:tcPr>
            <w:tcW w:type="dxa" w:w="2434"/>
            <w:shd w:fill="EFEFEF" w:color="auto" w:val="clear"/>
            <w:tcMar>
              <w:top w:type="dxa" w:w="60"/>
              <w:left w:type="dxa" w:w="100"/>
              <w:bottom w:type="dxa" w:w="60"/>
              <w:right w:type="dxa" w:w="100"/>
            </w:tcMar>
          </w:tcPr>
          <w:p>
            <w:pPr>
              <w:spacing w:after="0"/>
            </w:pPr>
            <w:r>
              <w:rPr>
                <w:b/>
                <w:bCs/>
                <w:sz w:val="19"/>
                <w:szCs w:val="19"/>
              </w:rPr>
              <w:t xml:space="preserve">Actie</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Fillers</w:t>
            </w:r>
          </w:p>
        </w:tc>
        <w:tc>
          <w:tcPr>
            <w:tcW w:type="dxa" w:w="1685"/>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1872"/>
            <w:tcMar>
              <w:top w:type="dxa" w:w="60"/>
              <w:left w:type="dxa" w:w="100"/>
              <w:bottom w:type="dxa" w:w="60"/>
              <w:right w:type="dxa" w:w="100"/>
            </w:tcMar>
          </w:tcPr>
          <w:p>
            <w:pPr>
              <w:spacing w:after="0"/>
            </w:pPr>
            <w:r>
              <w:rPr>
                <w:b w:val="false"/>
                <w:bCs w:val="false"/>
                <w:sz w:val="19"/>
                <w:szCs w:val="19"/>
              </w:rPr>
              <w:t xml:space="preserve"/>
            </w:r>
          </w:p>
        </w:tc>
        <w:tc>
          <w:tcPr>
            <w:tcW w:type="dxa" w:w="2434"/>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Botuline</w:t>
            </w:r>
          </w:p>
        </w:tc>
        <w:tc>
          <w:tcPr>
            <w:tcW w:type="dxa" w:w="1685"/>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1872"/>
            <w:tcMar>
              <w:top w:type="dxa" w:w="60"/>
              <w:left w:type="dxa" w:w="100"/>
              <w:bottom w:type="dxa" w:w="60"/>
              <w:right w:type="dxa" w:w="100"/>
            </w:tcMar>
          </w:tcPr>
          <w:p>
            <w:pPr>
              <w:spacing w:after="0"/>
            </w:pPr>
            <w:r>
              <w:rPr>
                <w:b w:val="false"/>
                <w:bCs w:val="false"/>
                <w:sz w:val="19"/>
                <w:szCs w:val="19"/>
              </w:rPr>
              <w:t xml:space="preserve"/>
            </w:r>
          </w:p>
        </w:tc>
        <w:tc>
          <w:tcPr>
            <w:tcW w:type="dxa" w:w="2434"/>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Noodmedicatie</w:t>
            </w:r>
          </w:p>
        </w:tc>
        <w:tc>
          <w:tcPr>
            <w:tcW w:type="dxa" w:w="1685"/>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1872"/>
            <w:tcMar>
              <w:top w:type="dxa" w:w="60"/>
              <w:left w:type="dxa" w:w="100"/>
              <w:bottom w:type="dxa" w:w="60"/>
              <w:right w:type="dxa" w:w="100"/>
            </w:tcMar>
          </w:tcPr>
          <w:p>
            <w:pPr>
              <w:spacing w:after="0"/>
            </w:pPr>
            <w:r>
              <w:rPr>
                <w:b w:val="false"/>
                <w:bCs w:val="false"/>
                <w:sz w:val="19"/>
                <w:szCs w:val="19"/>
              </w:rPr>
              <w:t xml:space="preserve"/>
            </w:r>
          </w:p>
        </w:tc>
        <w:tc>
          <w:tcPr>
            <w:tcW w:type="dxa" w:w="2434"/>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Steriel verbruiksmateriaal</w:t>
            </w:r>
          </w:p>
        </w:tc>
        <w:tc>
          <w:tcPr>
            <w:tcW w:type="dxa" w:w="1685"/>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1872"/>
            <w:tcMar>
              <w:top w:type="dxa" w:w="60"/>
              <w:left w:type="dxa" w:w="100"/>
              <w:bottom w:type="dxa" w:w="60"/>
              <w:right w:type="dxa" w:w="100"/>
            </w:tcMar>
          </w:tcPr>
          <w:p>
            <w:pPr>
              <w:spacing w:after="0"/>
            </w:pPr>
            <w:r>
              <w:rPr>
                <w:b w:val="false"/>
                <w:bCs w:val="false"/>
                <w:sz w:val="19"/>
                <w:szCs w:val="19"/>
              </w:rPr>
              <w:t xml:space="preserve"/>
            </w:r>
          </w:p>
        </w:tc>
        <w:tc>
          <w:tcPr>
            <w:tcW w:type="dxa" w:w="2434"/>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Overig</w:t>
            </w:r>
          </w:p>
        </w:tc>
        <w:tc>
          <w:tcPr>
            <w:tcW w:type="dxa" w:w="1685"/>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1872"/>
            <w:tcMar>
              <w:top w:type="dxa" w:w="60"/>
              <w:left w:type="dxa" w:w="100"/>
              <w:bottom w:type="dxa" w:w="60"/>
              <w:right w:type="dxa" w:w="100"/>
            </w:tcMar>
          </w:tcPr>
          <w:p>
            <w:pPr>
              <w:spacing w:after="0"/>
            </w:pPr>
            <w:r>
              <w:rPr>
                <w:b w:val="false"/>
                <w:bCs w:val="false"/>
                <w:sz w:val="19"/>
                <w:szCs w:val="19"/>
              </w:rPr>
              <w:t xml:space="preserve"/>
            </w:r>
          </w:p>
        </w:tc>
        <w:tc>
          <w:tcPr>
            <w:tcW w:type="dxa" w:w="2434"/>
            <w:tcMar>
              <w:top w:type="dxa" w:w="60"/>
              <w:left w:type="dxa" w:w="100"/>
              <w:bottom w:type="dxa" w:w="60"/>
              <w:right w:type="dxa" w:w="100"/>
            </w:tcMar>
          </w:tcPr>
          <w:p>
            <w:pPr>
              <w:spacing w:after="0"/>
            </w:pPr>
            <w:r>
              <w:rPr>
                <w:b w:val="false"/>
                <w:bCs w:val="false"/>
                <w:sz w:val="19"/>
                <w:szCs w:val="19"/>
              </w:rPr>
              <w:t xml:space="preserve"/>
            </w:r>
          </w:p>
        </w:tc>
      </w:tr>
    </w:tbl>
    <w:p>
      <w:pPr>
        <w:spacing w:after="120"/>
      </w:pPr>
      <w:r>
        <w:t xml:space="preserve"/>
      </w:r>
    </w:p>
    <w:p>
      <w:pPr>
        <w:spacing w:after="120"/>
      </w:pPr>
      <w:r>
        <w:t xml:space="preserve">Bijzonderheden: _______________________________________________________________________</w:t>
      </w:r>
    </w:p>
    <w:p>
      <w:pPr>
        <w:spacing w:after="120"/>
      </w:pPr>
      <w:r>
        <w:t xml:space="preserve">_________________________________________________________________________________</w:t>
      </w:r>
    </w:p>
    <w:p>
      <w:pPr>
        <w:spacing w:after="120"/>
      </w:pPr>
      <w:r>
        <w:t xml:space="preserve">Paraaf: __________</w:t>
      </w:r>
    </w:p>
    <w:p>
      <w:pPr>
        <w:spacing w:after="120"/>
      </w:pPr>
      <w:r>
        <w:t xml:space="preserve"/>
      </w:r>
    </w:p>
    <w:p>
      <w:pPr>
        <w:spacing w:after="120"/>
      </w:pPr>
      <w:r>
        <w:rPr>
          <w:i/>
          <w:iCs/>
        </w:rPr>
        <w:t xml:space="preserve">Telt ook als bewijs: een foto waarop de vervaldatums leesbaar zijn (de bestandsdatum is je tijdsbewijs), of een appbericht met datumstempel. Een registratie waar overal "0 verlopen" staat is zwakker dan één met een gevonden product en een actie erachter — dat laatste bewijst dat de controle echt is gedaan.</w:t>
      </w:r>
    </w:p>
    <w:p>
      <w:pPr>
        <w:pStyle w:val="Heading1"/>
        <w:spacing w:after="120"/>
      </w:pPr>
      <w:r>
        <w:rPr>
          <w:b w:val="0"/>
        </w:rPr>
        <w:t>1a · Voorraadcontrole-checklist — schema met 5 data (F-09)</w:t>
      </w:r>
    </w:p>
    <w:p>
      <w:pPr>
        <w:pStyle w:val="Heading1"/>
        <w:spacing w:after="120"/>
      </w:pPr>
      <w:r>
        <w:rPr>
          <w:b w:val="0"/>
        </w:rPr>
        <w:t>Fysieke doorloop per controle: achterste rij en onderste plank van de voorraadkast, behandelkamers, medicatiekoelkast (ook achterin), disposables (steriliteit verpakking), noodset/EpiPen (vervaldatum noteren) en aangebroken flacons (aanbreekdatum, houdbaarheid na aanbreken). Producten die binnen 3 maanden verlopen vooraan zetten (first-expired-first-out). Volledige checklist: F-09 in het kwaliteitssysteem (03_Registraties/Formulieren).</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rPr>
                <w:b/>
              </w:rPr>
              <w:t>#</w:t>
            </w:r>
          </w:p>
        </w:tc>
        <w:tc>
          <w:tcPr>
            <w:tcW w:type="dxa" w:w="1928"/>
          </w:tcPr>
          <w:p>
            <w:r>
              <w:rPr>
                <w:b/>
              </w:rPr>
              <w:t>Datum (gepland)</w:t>
            </w:r>
          </w:p>
        </w:tc>
        <w:tc>
          <w:tcPr>
            <w:tcW w:type="dxa" w:w="1928"/>
          </w:tcPr>
          <w:p>
            <w:r>
              <w:rPr>
                <w:b/>
              </w:rPr>
              <w:t>Datum (uitgevoerd)</w:t>
            </w:r>
          </w:p>
        </w:tc>
        <w:tc>
          <w:tcPr>
            <w:tcW w:type="dxa" w:w="1928"/>
          </w:tcPr>
          <w:p>
            <w:r>
              <w:rPr>
                <w:b/>
              </w:rPr>
              <w:t>Uitgevoerd door</w:t>
            </w:r>
          </w:p>
        </w:tc>
        <w:tc>
          <w:tcPr>
            <w:tcW w:type="dxa" w:w="1928"/>
          </w:tcPr>
          <w:p>
            <w:r>
              <w:rPr>
                <w:b/>
              </w:rPr>
              <w:t>Paraaf arts</w:t>
            </w:r>
          </w:p>
        </w:tc>
      </w:tr>
      <w:tr>
        <w:tc>
          <w:tcPr>
            <w:tcW w:type="dxa" w:w="1928"/>
          </w:tcPr>
          <w:p>
            <w:r>
              <w:t>1</w:t>
            </w:r>
          </w:p>
        </w:tc>
        <w:tc>
          <w:tcPr>
            <w:tcW w:type="dxa" w:w="1928"/>
          </w:tcPr>
          <w:p>
            <w:r>
              <w:t>26-07-2026 (slotcontrole vóór audit)</w:t>
            </w:r>
          </w:p>
        </w:tc>
        <w:tc>
          <w:tcPr>
            <w:tcW w:type="dxa" w:w="1928"/>
          </w:tcPr>
          <w:p>
            <w:r/>
          </w:p>
        </w:tc>
        <w:tc>
          <w:tcPr>
            <w:tcW w:type="dxa" w:w="1928"/>
          </w:tcPr>
          <w:p>
            <w:r/>
          </w:p>
        </w:tc>
        <w:tc>
          <w:tcPr>
            <w:tcW w:type="dxa" w:w="1928"/>
          </w:tcPr>
          <w:p>
            <w:r/>
          </w:p>
        </w:tc>
      </w:tr>
      <w:tr>
        <w:tc>
          <w:tcPr>
            <w:tcW w:type="dxa" w:w="1928"/>
          </w:tcPr>
          <w:p>
            <w:r>
              <w:t>2</w:t>
            </w:r>
          </w:p>
        </w:tc>
        <w:tc>
          <w:tcPr>
            <w:tcW w:type="dxa" w:w="1928"/>
          </w:tcPr>
          <w:p>
            <w:r>
              <w:t>september 2026 (Q3)</w:t>
            </w:r>
          </w:p>
        </w:tc>
        <w:tc>
          <w:tcPr>
            <w:tcW w:type="dxa" w:w="1928"/>
          </w:tcPr>
          <w:p>
            <w:r/>
          </w:p>
        </w:tc>
        <w:tc>
          <w:tcPr>
            <w:tcW w:type="dxa" w:w="1928"/>
          </w:tcPr>
          <w:p>
            <w:r/>
          </w:p>
        </w:tc>
        <w:tc>
          <w:tcPr>
            <w:tcW w:type="dxa" w:w="1928"/>
          </w:tcPr>
          <w:p>
            <w:r/>
          </w:p>
        </w:tc>
      </w:tr>
      <w:tr>
        <w:tc>
          <w:tcPr>
            <w:tcW w:type="dxa" w:w="1928"/>
          </w:tcPr>
          <w:p>
            <w:r>
              <w:t>3</w:t>
            </w:r>
          </w:p>
        </w:tc>
        <w:tc>
          <w:tcPr>
            <w:tcW w:type="dxa" w:w="1928"/>
          </w:tcPr>
          <w:p>
            <w:r>
              <w:t>december 2026 (Q4)</w:t>
            </w:r>
          </w:p>
        </w:tc>
        <w:tc>
          <w:tcPr>
            <w:tcW w:type="dxa" w:w="1928"/>
          </w:tcPr>
          <w:p>
            <w:r/>
          </w:p>
        </w:tc>
        <w:tc>
          <w:tcPr>
            <w:tcW w:type="dxa" w:w="1928"/>
          </w:tcPr>
          <w:p>
            <w:r/>
          </w:p>
        </w:tc>
        <w:tc>
          <w:tcPr>
            <w:tcW w:type="dxa" w:w="1928"/>
          </w:tcPr>
          <w:p>
            <w:r/>
          </w:p>
        </w:tc>
      </w:tr>
      <w:tr>
        <w:tc>
          <w:tcPr>
            <w:tcW w:type="dxa" w:w="1928"/>
          </w:tcPr>
          <w:p>
            <w:r>
              <w:t>4</w:t>
            </w:r>
          </w:p>
        </w:tc>
        <w:tc>
          <w:tcPr>
            <w:tcW w:type="dxa" w:w="1928"/>
          </w:tcPr>
          <w:p>
            <w:r>
              <w:t>maart 2027 (Q1)</w:t>
            </w:r>
          </w:p>
        </w:tc>
        <w:tc>
          <w:tcPr>
            <w:tcW w:type="dxa" w:w="1928"/>
          </w:tcPr>
          <w:p>
            <w:r/>
          </w:p>
        </w:tc>
        <w:tc>
          <w:tcPr>
            <w:tcW w:type="dxa" w:w="1928"/>
          </w:tcPr>
          <w:p>
            <w:r/>
          </w:p>
        </w:tc>
        <w:tc>
          <w:tcPr>
            <w:tcW w:type="dxa" w:w="1928"/>
          </w:tcPr>
          <w:p>
            <w:r/>
          </w:p>
        </w:tc>
      </w:tr>
      <w:tr>
        <w:tc>
          <w:tcPr>
            <w:tcW w:type="dxa" w:w="1928"/>
          </w:tcPr>
          <w:p>
            <w:r>
              <w:t>5</w:t>
            </w:r>
          </w:p>
        </w:tc>
        <w:tc>
          <w:tcPr>
            <w:tcW w:type="dxa" w:w="1928"/>
          </w:tcPr>
          <w:p>
            <w:r>
              <w:t>juni 2027 (Q2)</w:t>
            </w:r>
          </w:p>
        </w:tc>
        <w:tc>
          <w:tcPr>
            <w:tcW w:type="dxa" w:w="1928"/>
          </w:tcPr>
          <w:p>
            <w:r/>
          </w:p>
        </w:tc>
        <w:tc>
          <w:tcPr>
            <w:tcW w:type="dxa" w:w="1928"/>
          </w:tcPr>
          <w:p>
            <w:r/>
          </w:p>
        </w:tc>
        <w:tc>
          <w:tcPr>
            <w:tcW w:type="dxa" w:w="1928"/>
          </w:tcPr>
          <w:p>
            <w:r/>
          </w:p>
        </w:tc>
      </w:tr>
    </w:tbl>
    <w:p>
      <w:r>
        <w:br w:type="page"/>
      </w:r>
    </w:p>
    <w:p>
      <w:pPr>
        <w:pStyle w:val="Heading1"/>
        <w:spacing w:after="160" w:before="240"/>
      </w:pPr>
      <w:r>
        <w:t xml:space="preserve">2 · Temperatuurregistratie medicatiekoelkast</w:t>
      </w:r>
    </w:p>
    <w:p>
      <w:pPr>
        <w:spacing w:after="120"/>
      </w:pPr>
      <w:r>
        <w:t xml:space="preserve">Norm: §8.5.4 · §7.1.5 · §7.5.3 — grenswaarden 2–8 °C</w:t>
      </w:r>
    </w:p>
    <w:p>
      <w:pPr>
        <w:spacing w:after="120"/>
      </w:pPr>
      <w:r>
        <w:t xml:space="preserve">Locatie: ______________     Maand / jaar: ______________     Thermometer of logger: ______________</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310"/>
        <w:gridCol w:w="1498"/>
        <w:gridCol w:w="1123"/>
        <w:gridCol w:w="4118"/>
      </w:tblGrid>
      <w:tr>
        <w:trPr>
          <w:tblHeader/>
        </w:trPr>
        <w:tc>
          <w:tcPr>
            <w:tcW w:type="dxa" w:w="1310"/>
            <w:shd w:fill="EFEFEF" w:color="auto" w:val="clear"/>
            <w:tcMar>
              <w:top w:type="dxa" w:w="60"/>
              <w:left w:type="dxa" w:w="100"/>
              <w:bottom w:type="dxa" w:w="60"/>
              <w:right w:type="dxa" w:w="100"/>
            </w:tcMar>
          </w:tcPr>
          <w:p>
            <w:pPr>
              <w:spacing w:after="0"/>
            </w:pPr>
            <w:r>
              <w:rPr>
                <w:b/>
                <w:bCs/>
                <w:sz w:val="19"/>
                <w:szCs w:val="19"/>
              </w:rPr>
              <w:t xml:space="preserve">Datum</w:t>
            </w:r>
          </w:p>
        </w:tc>
        <w:tc>
          <w:tcPr>
            <w:tcW w:type="dxa" w:w="1310"/>
            <w:shd w:fill="EFEFEF" w:color="auto" w:val="clear"/>
            <w:tcMar>
              <w:top w:type="dxa" w:w="60"/>
              <w:left w:type="dxa" w:w="100"/>
              <w:bottom w:type="dxa" w:w="60"/>
              <w:right w:type="dxa" w:w="100"/>
            </w:tcMar>
          </w:tcPr>
          <w:p>
            <w:pPr>
              <w:spacing w:after="0"/>
            </w:pPr>
            <w:r>
              <w:rPr>
                <w:b/>
                <w:bCs/>
                <w:sz w:val="19"/>
                <w:szCs w:val="19"/>
              </w:rPr>
              <w:t xml:space="preserve">Temp. °C</w:t>
            </w:r>
          </w:p>
        </w:tc>
        <w:tc>
          <w:tcPr>
            <w:tcW w:type="dxa" w:w="1498"/>
            <w:shd w:fill="EFEFEF" w:color="auto" w:val="clear"/>
            <w:tcMar>
              <w:top w:type="dxa" w:w="60"/>
              <w:left w:type="dxa" w:w="100"/>
              <w:bottom w:type="dxa" w:w="60"/>
              <w:right w:type="dxa" w:w="100"/>
            </w:tcMar>
          </w:tcPr>
          <w:p>
            <w:pPr>
              <w:spacing w:after="0"/>
            </w:pPr>
            <w:r>
              <w:rPr>
                <w:b/>
                <w:bCs/>
                <w:sz w:val="19"/>
                <w:szCs w:val="19"/>
              </w:rPr>
              <w:t xml:space="preserve">Binnen 2–8?</w:t>
            </w:r>
          </w:p>
        </w:tc>
        <w:tc>
          <w:tcPr>
            <w:tcW w:type="dxa" w:w="1123"/>
            <w:shd w:fill="EFEFEF" w:color="auto" w:val="clear"/>
            <w:tcMar>
              <w:top w:type="dxa" w:w="60"/>
              <w:left w:type="dxa" w:w="100"/>
              <w:bottom w:type="dxa" w:w="60"/>
              <w:right w:type="dxa" w:w="100"/>
            </w:tcMar>
          </w:tcPr>
          <w:p>
            <w:pPr>
              <w:spacing w:after="0"/>
            </w:pPr>
            <w:r>
              <w:rPr>
                <w:b/>
                <w:bCs/>
                <w:sz w:val="19"/>
                <w:szCs w:val="19"/>
              </w:rPr>
              <w:t xml:space="preserve">Paraaf</w:t>
            </w:r>
          </w:p>
        </w:tc>
        <w:tc>
          <w:tcPr>
            <w:tcW w:type="dxa" w:w="4118"/>
            <w:shd w:fill="EFEFEF" w:color="auto" w:val="clear"/>
            <w:tcMar>
              <w:top w:type="dxa" w:w="60"/>
              <w:left w:type="dxa" w:w="100"/>
              <w:bottom w:type="dxa" w:w="60"/>
              <w:right w:type="dxa" w:w="100"/>
            </w:tcMar>
          </w:tcPr>
          <w:p>
            <w:pPr>
              <w:spacing w:after="0"/>
            </w:pPr>
            <w:r>
              <w:rPr>
                <w:b/>
                <w:bCs/>
                <w:sz w:val="19"/>
                <w:szCs w:val="19"/>
              </w:rPr>
              <w:t xml:space="preserve">Actie bij afwijking</w:t>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310"/>
            <w:tcMar>
              <w:top w:type="dxa" w:w="60"/>
              <w:left w:type="dxa" w:w="100"/>
              <w:bottom w:type="dxa" w:w="60"/>
              <w:right w:type="dxa" w:w="100"/>
            </w:tcMar>
          </w:tcPr>
          <w:p>
            <w:pPr>
              <w:spacing w:after="0"/>
            </w:pPr>
            <w:r>
              <w:rPr>
                <w:b w:val="false"/>
                <w:bCs w:val="false"/>
                <w:sz w:val="19"/>
                <w:szCs w:val="19"/>
              </w:rPr>
              <w:t xml:space="preserve"/>
            </w:r>
          </w:p>
        </w:tc>
        <w:tc>
          <w:tcPr>
            <w:tcW w:type="dxa" w:w="1498"/>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c>
          <w:tcPr>
            <w:tcW w:type="dxa" w:w="4118"/>
            <w:tcMar>
              <w:top w:type="dxa" w:w="60"/>
              <w:left w:type="dxa" w:w="100"/>
              <w:bottom w:type="dxa" w:w="60"/>
              <w:right w:type="dxa" w:w="100"/>
            </w:tcMar>
          </w:tcPr>
          <w:p>
            <w:pPr>
              <w:spacing w:after="0"/>
            </w:pPr>
            <w:r>
              <w:rPr>
                <w:b w:val="false"/>
                <w:bCs w:val="false"/>
                <w:sz w:val="19"/>
                <w:szCs w:val="19"/>
              </w:rPr>
              <w:t xml:space="preserve"/>
            </w:r>
          </w:p>
        </w:tc>
      </w:tr>
    </w:tbl>
    <w:p>
      <w:pPr>
        <w:spacing w:after="120"/>
      </w:pPr>
      <w:r>
        <w:t xml:space="preserve"/>
      </w:r>
    </w:p>
    <w:p>
      <w:pPr>
        <w:spacing w:after="120"/>
      </w:pPr>
      <w:r>
        <w:t xml:space="preserve">Bij een afwijking noteren: hoe lang, welke producten, beoordeling van de houdbaarheid, het besluit (behouden of afvoeren) en wie dat besloot.</w:t>
      </w:r>
    </w:p>
    <w:p>
      <w:pPr>
        <w:spacing w:after="120"/>
      </w:pPr>
      <w:r>
        <w:t xml:space="preserve"/>
      </w:r>
    </w:p>
    <w:p>
      <w:pPr>
        <w:pStyle w:val="Heading3"/>
        <w:spacing w:after="100" w:before="180"/>
      </w:pPr>
      <w:r>
        <w:t xml:space="preserve">Verificatie van de thermometer (§7.1.5)</w:t>
      </w:r>
    </w:p>
    <w:p>
      <w:pPr>
        <w:spacing w:after="120"/>
      </w:pPr>
      <w:r>
        <w:t xml:space="preserve">Datum: ________   Referentiethermometer: ____________   Meting koelkastthermometer: ______ °C   Meting referentie: ______ °C   Verschil: ______ °C   Oordeel: aanvaardbaar / afwijkend   Paraaf: ______</w:t>
      </w:r>
    </w:p>
    <w:p>
      <w:pPr>
        <w:spacing w:after="120"/>
      </w:pPr>
      <w:r>
        <w:rPr>
          <w:i/>
          <w:iCs/>
        </w:rPr>
        <w:t xml:space="preserve">Twee thermometers naast elkaar leggen en het verschil noteren kost vijf minuten en dekt §7.1.5 af.</w:t>
      </w:r>
    </w:p>
    <w:p>
      <w:r>
        <w:br w:type="page"/>
      </w:r>
    </w:p>
    <w:p>
      <w:pPr>
        <w:pStyle w:val="Heading1"/>
        <w:spacing w:after="160" w:before="240"/>
      </w:pPr>
      <w:r>
        <w:t xml:space="preserve">3 · Overlegregistratie</w:t>
      </w:r>
    </w:p>
    <w:p>
      <w:pPr>
        <w:spacing w:after="120"/>
      </w:pPr>
      <w:r>
        <w:t xml:space="preserve">Norm: §7.4 communicatie · §10.3 continue verbetering</w:t>
      </w:r>
    </w:p>
    <w:p>
      <w:pPr>
        <w:spacing w:after="120"/>
      </w:pPr>
      <w:r>
        <w:t xml:space="preserve">Vaste agendapunten: incidenten sinds de vorige keer, klachten, voorraad en houdbaarheid, verbeterpunten.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1591"/>
        <w:gridCol w:w="3182"/>
        <w:gridCol w:w="2246"/>
        <w:gridCol w:w="1123"/>
      </w:tblGrid>
      <w:tr>
        <w:trPr>
          <w:tblHeader/>
        </w:trPr>
        <w:tc>
          <w:tcPr>
            <w:tcW w:type="dxa" w:w="1217"/>
            <w:shd w:fill="EFEFEF" w:color="auto" w:val="clear"/>
            <w:tcMar>
              <w:top w:type="dxa" w:w="60"/>
              <w:left w:type="dxa" w:w="100"/>
              <w:bottom w:type="dxa" w:w="60"/>
              <w:right w:type="dxa" w:w="100"/>
            </w:tcMar>
          </w:tcPr>
          <w:p>
            <w:pPr>
              <w:spacing w:after="0"/>
            </w:pPr>
            <w:r>
              <w:rPr>
                <w:b/>
                <w:bCs/>
                <w:sz w:val="19"/>
                <w:szCs w:val="19"/>
              </w:rPr>
              <w:t xml:space="preserve">Datum</w:t>
            </w:r>
          </w:p>
        </w:tc>
        <w:tc>
          <w:tcPr>
            <w:tcW w:type="dxa" w:w="1591"/>
            <w:shd w:fill="EFEFEF" w:color="auto" w:val="clear"/>
            <w:tcMar>
              <w:top w:type="dxa" w:w="60"/>
              <w:left w:type="dxa" w:w="100"/>
              <w:bottom w:type="dxa" w:w="60"/>
              <w:right w:type="dxa" w:w="100"/>
            </w:tcMar>
          </w:tcPr>
          <w:p>
            <w:pPr>
              <w:spacing w:after="0"/>
            </w:pPr>
            <w:r>
              <w:rPr>
                <w:b/>
                <w:bCs/>
                <w:sz w:val="19"/>
                <w:szCs w:val="19"/>
              </w:rPr>
              <w:t xml:space="preserve">Aanwezig</w:t>
            </w:r>
          </w:p>
        </w:tc>
        <w:tc>
          <w:tcPr>
            <w:tcW w:type="dxa" w:w="3182"/>
            <w:shd w:fill="EFEFEF" w:color="auto" w:val="clear"/>
            <w:tcMar>
              <w:top w:type="dxa" w:w="60"/>
              <w:left w:type="dxa" w:w="100"/>
              <w:bottom w:type="dxa" w:w="60"/>
              <w:right w:type="dxa" w:w="100"/>
            </w:tcMar>
          </w:tcPr>
          <w:p>
            <w:pPr>
              <w:spacing w:after="0"/>
            </w:pPr>
            <w:r>
              <w:rPr>
                <w:b/>
                <w:bCs/>
                <w:sz w:val="19"/>
                <w:szCs w:val="19"/>
              </w:rPr>
              <w:t xml:space="preserve">Besproken</w:t>
            </w:r>
          </w:p>
        </w:tc>
        <w:tc>
          <w:tcPr>
            <w:tcW w:type="dxa" w:w="2246"/>
            <w:shd w:fill="EFEFEF" w:color="auto" w:val="clear"/>
            <w:tcMar>
              <w:top w:type="dxa" w:w="60"/>
              <w:left w:type="dxa" w:w="100"/>
              <w:bottom w:type="dxa" w:w="60"/>
              <w:right w:type="dxa" w:w="100"/>
            </w:tcMar>
          </w:tcPr>
          <w:p>
            <w:pPr>
              <w:spacing w:after="0"/>
            </w:pPr>
            <w:r>
              <w:rPr>
                <w:b/>
                <w:bCs/>
                <w:sz w:val="19"/>
                <w:szCs w:val="19"/>
              </w:rPr>
              <w:t xml:space="preserve">Actie</w:t>
            </w:r>
          </w:p>
        </w:tc>
        <w:tc>
          <w:tcPr>
            <w:tcW w:type="dxa" w:w="1123"/>
            <w:shd w:fill="EFEFEF" w:color="auto" w:val="clear"/>
            <w:tcMar>
              <w:top w:type="dxa" w:w="60"/>
              <w:left w:type="dxa" w:w="100"/>
              <w:bottom w:type="dxa" w:w="60"/>
              <w:right w:type="dxa" w:w="100"/>
            </w:tcMar>
          </w:tcPr>
          <w:p>
            <w:pPr>
              <w:spacing w:after="0"/>
            </w:pPr>
            <w:r>
              <w:rPr>
                <w:b/>
                <w:bCs/>
                <w:sz w:val="19"/>
                <w:szCs w:val="19"/>
              </w:rPr>
              <w:t xml:space="preserve">Eigenaar</w:t>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r>
        <w:trPr>
          <w:tblHeader w:val="false"/>
        </w:trPr>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1591"/>
            <w:tcMar>
              <w:top w:type="dxa" w:w="60"/>
              <w:left w:type="dxa" w:w="100"/>
              <w:bottom w:type="dxa" w:w="60"/>
              <w:right w:type="dxa" w:w="100"/>
            </w:tcMar>
          </w:tcPr>
          <w:p>
            <w:pPr>
              <w:spacing w:after="0"/>
            </w:pPr>
            <w:r>
              <w:rPr>
                <w:b w:val="false"/>
                <w:bCs w:val="false"/>
                <w:sz w:val="19"/>
                <w:szCs w:val="19"/>
              </w:rPr>
              <w:t xml:space="preserve"/>
            </w:r>
          </w:p>
        </w:tc>
        <w:tc>
          <w:tcPr>
            <w:tcW w:type="dxa" w:w="3182"/>
            <w:tcMar>
              <w:top w:type="dxa" w:w="60"/>
              <w:left w:type="dxa" w:w="100"/>
              <w:bottom w:type="dxa" w:w="60"/>
              <w:right w:type="dxa" w:w="100"/>
            </w:tcMar>
          </w:tcPr>
          <w:p>
            <w:pPr>
              <w:spacing w:after="0"/>
            </w:pPr>
            <w:r>
              <w:rPr>
                <w:b w:val="false"/>
                <w:bCs w:val="false"/>
                <w:sz w:val="19"/>
                <w:szCs w:val="19"/>
              </w:rPr>
              <w:t xml:space="preserve"/>
            </w:r>
          </w:p>
        </w:tc>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123"/>
            <w:tcMar>
              <w:top w:type="dxa" w:w="60"/>
              <w:left w:type="dxa" w:w="100"/>
              <w:bottom w:type="dxa" w:w="60"/>
              <w:right w:type="dxa" w:w="100"/>
            </w:tcMar>
          </w:tcPr>
          <w:p>
            <w:pPr>
              <w:spacing w:after="0"/>
            </w:pPr>
            <w:r>
              <w:rPr>
                <w:b w:val="false"/>
                <w:bCs w:val="false"/>
                <w:sz w:val="19"/>
                <w:szCs w:val="19"/>
              </w:rPr>
              <w:t xml:space="preserve"/>
            </w:r>
          </w:p>
        </w:tc>
      </w:tr>
    </w:tbl>
    <w:p>
      <w:pPr>
        <w:spacing w:after="120"/>
      </w:pPr>
      <w:r>
        <w:t xml:space="preserve"/>
      </w:r>
    </w:p>
    <w:p>
      <w:pPr>
        <w:spacing w:after="120"/>
      </w:pPr>
      <w:r>
        <w:rPr>
          <w:i/>
          <w:iCs/>
        </w:rPr>
        <w:t xml:space="preserve">Een gedeelde notitie, appgroep of schrift telt ook. Heb je niets: zeg dat het overleg mondeling gaat en dat je het vanaf nu vastlegt. Bij twee mensen die de hele dag naast elkaar staan is dagelijks overleg geloofwaardig — het gebrek aan vastlegging is het punt, niet het overleg zelf.</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2026-07-26T14:52:18.620Z</dcterms:created>
  <dcterms:modified xsi:type="dcterms:W3CDTF">2026-07-26T14:52:18.620Z</dcterms:modified>
</cp:coreProperties>
</file>

<file path=docProps/custom.xml><?xml version="1.0" encoding="utf-8"?>
<Properties xmlns="http://schemas.openxmlformats.org/officeDocument/2006/custom-properties" xmlns:vt="http://schemas.openxmlformats.org/officeDocument/2006/docPropsVTypes"/>
</file>