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6"/>
        </w:pBdr>
        <w:spacing w:after="60"/>
      </w:pPr>
      <w:r>
        <w:rPr>
          <w:b/>
          <w:bCs/>
          <w:color w:val="1F3864"/>
          <w:sz w:val="34"/>
          <w:szCs w:val="34"/>
        </w:rPr>
        <w:t xml:space="preserve">Auditprogramma 2024–2026</w:t>
      </w:r>
    </w:p>
    <w:p>
      <w:pPr>
        <w:spacing w:after="260"/>
      </w:pPr>
      <w:r>
        <w:rPr>
          <w:i/>
          <w:iCs/>
          <w:color w:val="555555"/>
          <w:sz w:val="19"/>
          <w:szCs w:val="19"/>
        </w:rPr>
        <w:t xml:space="preserve">PVI Clinic B.V. · ISO 9001:2015 §9.2.2 onder a · sjabloon met ingevuld voorbeeld</w:t>
      </w:r>
    </w:p>
    <w:p>
      <w:pPr>
        <w:spacing w:after="120"/>
      </w:pPr>
      <w:r>
        <w:t xml:space="preserve">DEKRA noemt in het rapport van 24-02-2025 het document "Interne audit Planning 2024-2026" als beoordeeld stuk. Het bestaat dus. Zoek in de mail van februari 2025, in de map die je toen aan de auditor stuurde, of in Drive. Vind je het, dan bestaat het programma en is alleen de uitvoering blijven liggen — een wezenlijk lichter verwijt dan "er is geen programma".</w:t>
      </w:r>
    </w:p>
    <w:p>
      <w:pPr>
        <w:pStyle w:val="Heading2"/>
        <w:spacing w:after="120" w:before="220"/>
      </w:pPr>
      <w:r>
        <w:t xml:space="preserve">Vaststelling</w:t>
      </w:r>
    </w:p>
    <w:p>
      <w:pPr>
        <w:spacing w:after="120"/>
      </w:pPr>
      <w:r>
        <w:t xml:space="preserve">Vastgesteld op: ______________     door: ______________     Herzien op: ______________</w:t>
      </w:r>
    </w:p>
    <w:p>
      <w:pPr>
        <w:spacing w:after="120"/>
      </w:pPr>
      <w:r>
        <w:t xml:space="preserve">Uitgangspunt: kritieke processen jaarlijks, ondersteunende processen tweejaarlijks. Bij deze omvang volstaat één integrale ronde per jaar, mits dat zo in het programma staat.</w:t>
      </w:r>
    </w:p>
    <w:p>
      <w:pPr>
        <w:pStyle w:val="Heading2"/>
        <w:spacing w:after="120" w:before="220"/>
      </w:pPr>
      <w:r>
        <w:t xml:space="preserve">Programma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217"/>
        <w:gridCol w:w="749"/>
        <w:gridCol w:w="749"/>
        <w:gridCol w:w="749"/>
        <w:gridCol w:w="1030"/>
        <w:gridCol w:w="2621"/>
      </w:tblGrid>
      <w:tr>
        <w:trPr>
          <w:tblHeader/>
        </w:trPr>
        <w:tc>
          <w:tcPr>
            <w:tcW w:type="dxa" w:w="2246"/>
            <w:shd w:fill="EFEFEF" w:color="auto" w:val="clear"/>
            <w:tcMar>
              <w:top w:type="dxa" w:w="60"/>
              <w:left w:type="dxa" w:w="100"/>
              <w:bottom w:type="dxa" w:w="60"/>
              <w:right w:type="dxa" w:w="100"/>
            </w:tcMar>
          </w:tcPr>
          <w:p>
            <w:pPr>
              <w:spacing w:after="0"/>
            </w:pPr>
            <w:r>
              <w:rPr>
                <w:b/>
                <w:bCs/>
                <w:sz w:val="19"/>
                <w:szCs w:val="19"/>
              </w:rPr>
              <w:t xml:space="preserve">Proces</w:t>
            </w:r>
          </w:p>
        </w:tc>
        <w:tc>
          <w:tcPr>
            <w:tcW w:type="dxa" w:w="1217"/>
            <w:shd w:fill="EFEFEF" w:color="auto" w:val="clear"/>
            <w:tcMar>
              <w:top w:type="dxa" w:w="60"/>
              <w:left w:type="dxa" w:w="100"/>
              <w:bottom w:type="dxa" w:w="60"/>
              <w:right w:type="dxa" w:w="100"/>
            </w:tcMar>
          </w:tcPr>
          <w:p>
            <w:pPr>
              <w:spacing w:after="0"/>
            </w:pPr>
            <w:r>
              <w:rPr>
                <w:b/>
                <w:bCs/>
                <w:sz w:val="19"/>
                <w:szCs w:val="19"/>
              </w:rPr>
              <w:t xml:space="preserve">Frequentie</w:t>
            </w:r>
          </w:p>
        </w:tc>
        <w:tc>
          <w:tcPr>
            <w:tcW w:type="dxa" w:w="749"/>
            <w:shd w:fill="EFEFEF" w:color="auto" w:val="clear"/>
            <w:tcMar>
              <w:top w:type="dxa" w:w="60"/>
              <w:left w:type="dxa" w:w="100"/>
              <w:bottom w:type="dxa" w:w="60"/>
              <w:right w:type="dxa" w:w="100"/>
            </w:tcMar>
          </w:tcPr>
          <w:p>
            <w:pPr>
              <w:spacing w:after="0"/>
            </w:pPr>
            <w:r>
              <w:rPr>
                <w:b/>
                <w:bCs/>
                <w:sz w:val="19"/>
                <w:szCs w:val="19"/>
              </w:rPr>
              <w:t xml:space="preserve">2024</w:t>
            </w:r>
          </w:p>
        </w:tc>
        <w:tc>
          <w:tcPr>
            <w:tcW w:type="dxa" w:w="749"/>
            <w:shd w:fill="EFEFEF" w:color="auto" w:val="clear"/>
            <w:tcMar>
              <w:top w:type="dxa" w:w="60"/>
              <w:left w:type="dxa" w:w="100"/>
              <w:bottom w:type="dxa" w:w="60"/>
              <w:right w:type="dxa" w:w="100"/>
            </w:tcMar>
          </w:tcPr>
          <w:p>
            <w:pPr>
              <w:spacing w:after="0"/>
            </w:pPr>
            <w:r>
              <w:rPr>
                <w:b/>
                <w:bCs/>
                <w:sz w:val="19"/>
                <w:szCs w:val="19"/>
              </w:rPr>
              <w:t xml:space="preserve">2025</w:t>
            </w:r>
          </w:p>
        </w:tc>
        <w:tc>
          <w:tcPr>
            <w:tcW w:type="dxa" w:w="749"/>
            <w:shd w:fill="EFEFEF" w:color="auto" w:val="clear"/>
            <w:tcMar>
              <w:top w:type="dxa" w:w="60"/>
              <w:left w:type="dxa" w:w="100"/>
              <w:bottom w:type="dxa" w:w="60"/>
              <w:right w:type="dxa" w:w="100"/>
            </w:tcMar>
          </w:tcPr>
          <w:p>
            <w:pPr>
              <w:spacing w:after="0"/>
            </w:pPr>
            <w:r>
              <w:rPr>
                <w:b/>
                <w:bCs/>
                <w:sz w:val="19"/>
                <w:szCs w:val="19"/>
              </w:rPr>
              <w:t xml:space="preserve">2026</w:t>
            </w:r>
          </w:p>
        </w:tc>
        <w:tc>
          <w:tcPr>
            <w:tcW w:type="dxa" w:w="1030"/>
            <w:shd w:fill="EFEFEF" w:color="auto" w:val="clear"/>
            <w:tcMar>
              <w:top w:type="dxa" w:w="60"/>
              <w:left w:type="dxa" w:w="100"/>
              <w:bottom w:type="dxa" w:w="60"/>
              <w:right w:type="dxa" w:w="100"/>
            </w:tcMar>
          </w:tcPr>
          <w:p>
            <w:pPr>
              <w:spacing w:after="0"/>
            </w:pPr>
            <w:r>
              <w:rPr>
                <w:b/>
                <w:bCs/>
                <w:sz w:val="19"/>
                <w:szCs w:val="19"/>
              </w:rPr>
              <w:t xml:space="preserve">Auditor</w:t>
            </w:r>
          </w:p>
        </w:tc>
        <w:tc>
          <w:tcPr>
            <w:tcW w:type="dxa" w:w="2621"/>
            <w:shd w:fill="EFEFEF" w:color="auto" w:val="clear"/>
            <w:tcMar>
              <w:top w:type="dxa" w:w="60"/>
              <w:left w:type="dxa" w:w="100"/>
              <w:bottom w:type="dxa" w:w="60"/>
              <w:right w:type="dxa" w:w="100"/>
            </w:tcMar>
          </w:tcPr>
          <w:p>
            <w:pPr>
              <w:spacing w:after="0"/>
            </w:pPr>
            <w:r>
              <w:rPr>
                <w:b/>
                <w:bCs/>
                <w:sz w:val="19"/>
                <w:szCs w:val="19"/>
              </w:rPr>
              <w:t xml:space="preserve">Criteria / scope</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Voorraad en houdbaarheid</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§8.5.4, SOP Voorraadbeheer</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Behandelprocessen (SOP's)</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§8.5, alle behandel-SOP's</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Dossiervoering en AVG</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§7.5, AVG, SOP Dossiervoering</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Competentie en personeel</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§7.2</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Infrastructuur en apparatuur</w:t>
            </w:r>
          </w:p>
        </w:tc>
        <w:tc>
          <w:tcPr>
            <w:tcW w:type="dxa" w:w="1217"/>
            <w:tcMar>
              <w:top w:type="dxa" w:w="60"/>
              <w:left w:type="dxa" w:w="100"/>
              <w:bottom w:type="dxa" w:w="60"/>
              <w:right w:type="dxa" w:w="100"/>
            </w:tcMar>
          </w:tcPr>
          <w:p>
            <w:pPr>
              <w:spacing w:after="0"/>
            </w:pPr>
            <w:r>
              <w:rPr>
                <w:b w:val="false"/>
                <w:bCs w:val="false"/>
                <w:sz w:val="19"/>
                <w:szCs w:val="19"/>
              </w:rPr>
              <w:t xml:space="preserve">2-jaarlijks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§7.1.3</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Klachten en incidenten</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§10.2, VIM</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Directiebeoordeling (input)</w:t>
            </w:r>
          </w:p>
        </w:tc>
        <w:tc>
          <w:tcPr>
            <w:tcW w:type="dxa" w:w="1217"/>
            <w:tcMar>
              <w:top w:type="dxa" w:w="60"/>
              <w:left w:type="dxa" w:w="100"/>
              <w:bottom w:type="dxa" w:w="60"/>
              <w:right w:type="dxa" w:w="100"/>
            </w:tcMar>
          </w:tcPr>
          <w:p>
            <w:pPr>
              <w:spacing w:after="0"/>
            </w:pPr>
            <w:r>
              <w:rPr>
                <w:b w:val="false"/>
                <w:bCs w:val="false"/>
                <w:sz w:val="19"/>
                <w:szCs w:val="19"/>
              </w:rPr>
              <w:t xml:space="preserve">jaarlijks</w:t>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§9.3</w:t>
            </w:r>
          </w:p>
        </w:tc>
      </w:tr>
      <w:tr>
        <w:trPr>
          <w:tblHeader w:val="false"/>
        </w:trPr>
        <w:tc>
          <w:tcPr>
            <w:tcW w:type="dxa" w:w="2246"/>
            <w:tcMar>
              <w:top w:type="dxa" w:w="60"/>
              <w:left w:type="dxa" w:w="100"/>
              <w:bottom w:type="dxa" w:w="60"/>
              <w:right w:type="dxa" w:w="100"/>
            </w:tcMar>
          </w:tcPr>
          <w:p>
            <w:pPr>
              <w:spacing w:after="0"/>
            </w:pPr>
            <w:r>
              <w:rPr>
                <w:b w:val="false"/>
                <w:bCs w:val="false"/>
                <w:sz w:val="19"/>
                <w:szCs w:val="19"/>
              </w:rPr>
              <w:t xml:space="preserve"/>
            </w:r>
          </w:p>
        </w:tc>
        <w:tc>
          <w:tcPr>
            <w:tcW w:type="dxa" w:w="1217"/>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749"/>
            <w:tcMar>
              <w:top w:type="dxa" w:w="60"/>
              <w:left w:type="dxa" w:w="100"/>
              <w:bottom w:type="dxa" w:w="60"/>
              <w:right w:type="dxa" w:w="100"/>
            </w:tcMar>
          </w:tcPr>
          <w:p>
            <w:pPr>
              <w:spacing w:after="0"/>
            </w:pPr>
            <w:r>
              <w:rPr>
                <w:b w:val="false"/>
                <w:bCs w:val="false"/>
                <w:sz w:val="19"/>
                <w:szCs w:val="19"/>
              </w:rPr>
              <w:t xml:space="preserve"/>
            </w:r>
          </w:p>
        </w:tc>
        <w:tc>
          <w:tcPr>
            <w:tcW w:type="dxa" w:w="1030"/>
            <w:tcMar>
              <w:top w:type="dxa" w:w="60"/>
              <w:left w:type="dxa" w:w="100"/>
              <w:bottom w:type="dxa" w:w="60"/>
              <w:right w:type="dxa" w:w="100"/>
            </w:tcMar>
          </w:tcPr>
          <w:p>
            <w:pPr>
              <w:spacing w:after="0"/>
            </w:pPr>
            <w:r>
              <w:rPr>
                <w:b w:val="false"/>
                <w:bCs w:val="false"/>
                <w:sz w:val="19"/>
                <w:szCs w:val="19"/>
              </w:rPr>
              <w:t xml:space="preserve"/>
            </w:r>
          </w:p>
        </w:tc>
        <w:tc>
          <w:tcPr>
            <w:tcW w:type="dxa" w:w="2621"/>
            <w:tcMar>
              <w:top w:type="dxa" w:w="60"/>
              <w:left w:type="dxa" w:w="100"/>
              <w:bottom w:type="dxa" w:w="60"/>
              <w:right w:type="dxa" w:w="100"/>
            </w:tcMar>
          </w:tcPr>
          <w:p>
            <w:pPr>
              <w:spacing w:after="0"/>
            </w:pPr>
            <w:r>
              <w:rPr>
                <w:b w:val="false"/>
                <w:bCs w:val="false"/>
                <w:sz w:val="19"/>
                <w:szCs w:val="19"/>
              </w:rPr>
              <w:t xml:space="preserve"/>
            </w:r>
          </w:p>
        </w:tc>
      </w:tr>
    </w:tbl>
    <w:p>
      <w:pPr>
        <w:pStyle w:val="Heading2"/>
        <w:spacing w:after="120" w:before="220"/>
      </w:pPr>
      <w:r>
        <w:t xml:space="preserve">Rapportage en opvolging</w:t>
      </w:r>
    </w:p>
    <w:p>
      <w:pPr>
        <w:spacing w:after="120"/>
      </w:pPr>
      <w:r>
        <w:t xml:space="preserve">Bevindingen gaan naar het verbeterregister met eigenaar en deadline. De opvolging wordt getoetst bij de volgende audit.</w:t>
      </w:r>
    </w:p>
    <w:p>
      <w:pPr>
        <w:spacing w:after="120"/>
      </w:pPr>
      <w:r>
        <w:t xml:space="preserve"/>
      </w:r>
    </w:p>
    <w:p>
      <w:pPr>
        <w:spacing w:after="120"/>
      </w:pPr>
      <w:r>
        <w:rPr>
          <w:i/>
          <w:iCs/>
        </w:rPr>
        <w:t xml:space="preserve">Wat dit document geldig maakt: welke processen, hoe vaak, wanneer per jaar zichtbaar, wie auditeert, de criteria en scope per audit, en een datum van vaststelling met wie het heeft vastgesteld.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2026-07-26T14:52:18.622Z</dcterms:created>
  <dcterms:modified xsi:type="dcterms:W3CDTF">2026-07-26T14:52:18.622Z</dcterms:modified>
</cp:coreProperties>
</file>

<file path=docProps/custom.xml><?xml version="1.0" encoding="utf-8"?>
<Properties xmlns="http://schemas.openxmlformats.org/officeDocument/2006/custom-properties" xmlns:vt="http://schemas.openxmlformats.org/officeDocument/2006/docPropsVTypes"/>
</file>