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6"/>
        </w:pBdr>
        <w:spacing w:after="60"/>
      </w:pPr>
      <w:r>
        <w:rPr>
          <w:b/>
          <w:bCs/>
          <w:color w:val="1F3864"/>
          <w:sz w:val="34"/>
          <w:szCs w:val="34"/>
        </w:rPr>
        <w:t xml:space="preserve">Checklists — klanttevredenheid, AVG, personeel, huur</w:t>
      </w:r>
    </w:p>
    <w:p>
      <w:pPr>
        <w:spacing w:after="260"/>
      </w:pPr>
      <w:r>
        <w:rPr>
          <w:i/>
          <w:iCs/>
          <w:color w:val="555555"/>
          <w:sz w:val="19"/>
          <w:szCs w:val="19"/>
        </w:rPr>
        <w:t xml:space="preserve">PVI Clinic B.V. · opgesteld 26-07-2026</w:t>
      </w:r>
    </w:p>
    <w:p>
      <w:pPr>
        <w:pStyle w:val="Heading1"/>
        <w:spacing w:after="160" w:before="240"/>
      </w:pPr>
      <w:r>
        <w:t xml:space="preserve">1 · Klanttevredenheidsmeting</w:t>
      </w:r>
    </w:p>
    <w:p>
      <w:pPr>
        <w:spacing w:after="120"/>
      </w:pPr>
      <w:r>
        <w:t xml:space="preserve">Norm: §9.1.2 — monitoren van de perceptie van de klant</w:t>
      </w:r>
    </w:p>
    <w:p>
      <w:pPr>
        <w:spacing w:after="120"/>
      </w:pPr>
      <w:r>
        <w:t xml:space="preserve">Meetperiode: ______________     Datum rapportage: ______________     Methode: mail / formulier / telefonisch</w:t>
      </w:r>
    </w:p>
    <w:p>
      <w:pPr>
        <w:spacing w:after="120"/>
      </w:pPr>
      <w:r>
        <w:t xml:space="preserve">Aantal benaderd: ________     Aantal respons: ________     Responspercentage: ________ %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123"/>
        <w:gridCol w:w="1685"/>
        <w:gridCol w:w="2808"/>
      </w:tblGrid>
      <w:tr>
        <w:trPr>
          <w:tblHeader/>
        </w:trPr>
        <w:tc>
          <w:tcPr>
            <w:tcW w:type="dxa" w:w="3744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Vraag</w:t>
            </w:r>
          </w:p>
        </w:tc>
        <w:tc>
          <w:tcPr>
            <w:tcW w:type="dxa" w:w="1123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Schaal</w:t>
            </w:r>
          </w:p>
        </w:tc>
        <w:tc>
          <w:tcPr>
            <w:tcW w:type="dxa" w:w="1685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Gemiddelde</w:t>
            </w:r>
          </w:p>
        </w:tc>
        <w:tc>
          <w:tcPr>
            <w:tcW w:type="dxa" w:w="280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Opvallend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Tevredenheid over de behandeling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Informatievoorziening vooraf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Bejegening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Zou u ons aanbevelen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Conclusie: ______________________________     Verbeteracties: ______________________________</w:t>
      </w:r>
    </w:p>
    <w:p>
      <w:pPr>
        <w:spacing w:after="120"/>
      </w:pPr>
      <w:r>
        <w:t xml:space="preserve">Volgende meting: ______________</w:t>
      </w:r>
    </w:p>
    <w:p>
      <w:pPr>
        <w:spacing w:after="120"/>
      </w:pPr>
      <w:r>
        <w:rPr>
          <w:i/>
          <w:iCs/>
        </w:rPr>
        <w:t xml:space="preserve">Zonder respons-aantal zegt een percentage niets: 95% van twintig respondenten is iets anders dan 95% van vier. Het onderzoek uit 2020/21 is inmiddels vijf jaar oud — sterker dan dat oude stuk is de mailing vandaag live zetten, want dan is het een lopend proces in plaats van een plan.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 · Verwerkersovereenkomsten (AVG art. 28)</w:t>
      </w:r>
    </w:p>
    <w:p>
      <w:pPr>
        <w:spacing w:after="120"/>
      </w:pPr>
      <w:r>
        <w:t xml:space="preserve">Per partij nalopen.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310"/>
        <w:gridCol w:w="1217"/>
        <w:gridCol w:w="1217"/>
        <w:gridCol w:w="1217"/>
        <w:gridCol w:w="1217"/>
      </w:tblGrid>
      <w:tr>
        <w:trPr>
          <w:tblHeader/>
        </w:trPr>
        <w:tc>
          <w:tcPr>
            <w:tcW w:type="dxa" w:w="3182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Onderdeel</w:t>
            </w:r>
          </w:p>
        </w:tc>
        <w:tc>
          <w:tcPr>
            <w:tcW w:type="dxa" w:w="13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Clinicminds</w:t>
            </w:r>
          </w:p>
        </w:tc>
        <w:tc>
          <w:tcPr>
            <w:tcW w:type="dxa" w:w="121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Antwoord-service</w:t>
            </w:r>
          </w:p>
        </w:tc>
        <w:tc>
          <w:tcPr>
            <w:tcW w:type="dxa" w:w="121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Telefonie</w:t>
            </w:r>
          </w:p>
        </w:tc>
        <w:tc>
          <w:tcPr>
            <w:tcW w:type="dxa" w:w="121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Typeform</w:t>
            </w:r>
          </w:p>
        </w:tc>
        <w:tc>
          <w:tcPr>
            <w:tcW w:type="dxa" w:w="121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Resend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Partijen benoemd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Onderwerp, aard, doel en duur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Categorieën gegevens en betrokkenen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Beveiligingsmaatregelen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Subverwerkers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Bewaartermijn en einde overeenkomst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Meldplicht datalekken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Ondertekend, met datum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Meestal een standaarddocument van de leverancier. Kijk in het Clinicminds-account onder juridisch of instellingen, of in de mail van toen je klant werd.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3 · Personeelsdossier</w:t>
      </w:r>
    </w:p>
    <w:p>
      <w:pPr>
        <w:spacing w:after="120"/>
      </w:pPr>
      <w:r>
        <w:t xml:space="preserve">Norm: §7.1.2 personen · §7.2 competentie</w:t>
      </w:r>
    </w:p>
    <w:p>
      <w:pPr>
        <w:spacing w:after="120"/>
      </w:pPr>
      <w:r>
        <w:t xml:space="preserve">Medewerker: ______________________     Functie: ______________________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310"/>
        <w:gridCol w:w="1310"/>
        <w:gridCol w:w="2434"/>
      </w:tblGrid>
      <w:tr>
        <w:trPr>
          <w:tblHeader/>
        </w:trPr>
        <w:tc>
          <w:tcPr>
            <w:tcW w:type="dxa" w:w="430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Onderdeel</w:t>
            </w:r>
          </w:p>
        </w:tc>
        <w:tc>
          <w:tcPr>
            <w:tcW w:type="dxa" w:w="13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Aanwezig</w:t>
            </w:r>
          </w:p>
        </w:tc>
        <w:tc>
          <w:tcPr>
            <w:tcW w:type="dxa" w:w="13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2434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Arbeidsovereenkomst, getekend door beide partijen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Ingangsdatum en type (bepaald / onbepaald)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Geldig op vandaag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Functiebeschrijving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VOG, passend bij de zorgfunctie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Inschrijfbewijs opleiding + verwachte einddatum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Diploma's en certificaten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Bekwaamheidslijst met toezichtniveau per taak, afgetekend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Inwerkroute afgetekend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 / nee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Het contract hoeft niet naar de auditor — persoonsgegevens horen niet in het auditdossier. Je moet het gezien hebben zodat je morgen "ja" kunt zeggen.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 · Huurovereenkomsten Enschede en Sittard</w:t>
      </w:r>
    </w:p>
    <w:p>
      <w:pPr>
        <w:spacing w:after="120"/>
      </w:pPr>
      <w:r>
        <w:t xml:space="preserve">Norm: §7.1.3 infrastructuur · §7.1.4 omgeving · §8.4 externe aanbieders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2527"/>
        <w:gridCol w:w="2527"/>
      </w:tblGrid>
      <w:tr>
        <w:trPr>
          <w:tblHeader/>
        </w:trPr>
        <w:tc>
          <w:tcPr>
            <w:tcW w:type="dxa" w:w="4306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Punt</w:t>
            </w:r>
          </w:p>
        </w:tc>
        <w:tc>
          <w:tcPr>
            <w:tcW w:type="dxa" w:w="252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Enschede</w:t>
            </w:r>
          </w:p>
        </w:tc>
        <w:tc>
          <w:tcPr>
            <w:tcW w:type="dxa" w:w="2527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Sittard</w:t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Partijen en adres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Wat is inbegrepen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Verantwoordelijk voor schoonmaak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Verantwoordelijk voor onderhoud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Verantwoordelijk voor brandveiligheid en vluchtwegen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Toegang en sleutelbeheer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AED, zuurstof en noodmedicatie aanwezig of meegenomen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EHBO-koffer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Ontruimingsregeling in het gebouw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DEKRA schreef in 2025: "In de overeenkomsten zijn verantwoordelijkheden en verplichtingen opgenomen." Zij weet dus dat ze bestaan. De laatste drie punten hoeven niet in het contract te staan, maar het antwoord moet er wel zijn.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2026-07-26T14:52:18.626Z</dcterms:created>
  <dcterms:modified xsi:type="dcterms:W3CDTF">2026-07-26T14:52:18.626Z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