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6"/>
        </w:pBdr>
        <w:spacing w:after="60"/>
      </w:pPr>
      <w:r>
        <w:rPr>
          <w:b/>
          <w:bCs/>
          <w:color w:val="1F3864"/>
          <w:sz w:val="34"/>
          <w:szCs w:val="34"/>
        </w:rPr>
        <w:t xml:space="preserve">Servicerapporten — welke moeten er zijn</w:t>
      </w:r>
    </w:p>
    <w:p>
      <w:pPr>
        <w:spacing w:after="260"/>
      </w:pPr>
      <w:r>
        <w:rPr>
          <w:i/>
          <w:iCs/>
          <w:color w:val="555555"/>
          <w:sz w:val="19"/>
          <w:szCs w:val="19"/>
        </w:rPr>
        <w:t xml:space="preserve">PVI Clinic B.V. · ISO 9001:2015 §7.1.3 infrastructuur · opgesteld 26-07-2026</w:t>
      </w:r>
    </w:p>
    <w:p>
      <w:pPr>
        <w:spacing w:after="120"/>
      </w:pPr>
      <w:r>
        <w:t xml:space="preserve">Werklijst voor het aanvullen van het apparatuur- en onderhoudsoverzicht. Per apparaat hoort vast te liggen welke onderhoudseis geldt, wanneer de laatste controle was en waar het bewijs ligt. Gebruik het formulier achterin voor elk apparaat.</w:t>
      </w:r>
    </w:p>
    <w:p>
      <w:pPr>
        <w:pStyle w:val="Heading2"/>
        <w:spacing w:after="120" w:before="220"/>
      </w:pPr>
      <w:r>
        <w:t xml:space="preserve">A · Behandelapparatuur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3744"/>
        <w:gridCol w:w="2621"/>
      </w:tblGrid>
      <w:tr>
        <w:trPr>
          <w:tblHeader/>
        </w:trPr>
        <w:tc>
          <w:tcPr>
            <w:tcW w:type="dxa" w:w="2995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Apparaat</w:t>
            </w:r>
          </w:p>
        </w:tc>
        <w:tc>
          <w:tcPr>
            <w:tcW w:type="dxa" w:w="3744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Onderhoud via</w:t>
            </w:r>
          </w:p>
        </w:tc>
        <w:tc>
          <w:tcPr>
            <w:tcW w:type="dxa" w:w="2621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Frequentie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Fotona laser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Dalton Medical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jaarlijks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Plexr Omnia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Vectra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Thermage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Ulthera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Elektrocauterisatie-apparaat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Cryotherapie-apparatuur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Ga eerst na of Thermage en Ulthera nog in gebruik zijn. Zo niet: dat vastleggen, dan vervalt de onderhoudseis.</w:t>
      </w:r>
    </w:p>
    <w:p>
      <w:pPr>
        <w:pStyle w:val="Heading2"/>
        <w:spacing w:after="120" w:before="220"/>
      </w:pPr>
      <w:r>
        <w:t xml:space="preserve">B · Ondersteunende apparatuur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2621"/>
        <w:gridCol w:w="4493"/>
      </w:tblGrid>
      <w:tr>
        <w:trPr>
          <w:tblHeader/>
        </w:trPr>
        <w:tc>
          <w:tcPr>
            <w:tcW w:type="dxa" w:w="2246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Apparaat</w:t>
            </w:r>
          </w:p>
        </w:tc>
        <w:tc>
          <w:tcPr>
            <w:tcW w:type="dxa" w:w="2621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Genoemd in</w:t>
            </w:r>
          </w:p>
        </w:tc>
        <w:tc>
          <w:tcPr>
            <w:tcW w:type="dxa" w:w="4493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Gebruikelijke eis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Sterilisator / autoclaaf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staat in overzicht als "intern, per cyclus"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RIVM: minimaal jaarlijks onderhoud inclusief sensorkalibratie door externe partij; bij type B dagelijks een helix-test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Medicatiekoelkast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staat in overzicht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dagelijkse temperatuurregistratie + verificatie van de thermometer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Bloeddrukmeter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SOP's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periodieke ijking, gebruikelijk elke 2 jaar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Weegschaal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SOP's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ijking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AED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SOP's + Kwaliteitsbeleid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houdbaarheid batterij en pads, periodieke controle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Zuurstof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SOP's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cilinderkeuring, drukcontrole, houdbaarheid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Noodmedicatie / EHBO-set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SOP Calamiteiten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houdbaarheidscontrole via de voorraadcontrole</w:t>
            </w:r>
          </w:p>
        </w:tc>
      </w:tr>
    </w:tbl>
    <w:p>
      <w:pPr>
        <w:pStyle w:val="Heading2"/>
        <w:spacing w:after="120" w:before="220"/>
      </w:pPr>
      <w:r>
        <w:t xml:space="preserve">C · Gebouwgebonden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552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Eis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Brandblussers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NEN 2559 — jaarlijkse controle door een deskundige, met datumsticker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Noodverlichting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jaarlijkse controle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Elektrische arbeidsmiddelen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NEN 3140, periodiek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Voor Enschede en Sittard: kijk in het huurcontract wie hiervoor verantwoordelijk is. Vaak de verhuurder — leg dat dan vast, dan is het geregeld en geen bevinding.</w:t>
      </w:r>
    </w:p>
    <w:p>
      <w:r>
        <w:br w:type="page"/>
      </w:r>
    </w:p>
    <w:p>
      <w:pPr>
        <w:pStyle w:val="Heading1"/>
        <w:spacing w:after="160" w:before="240"/>
      </w:pPr>
      <w:r>
        <w:t xml:space="preserve">Formulier · onderhoudsregistratie per apparaat</w:t>
      </w:r>
    </w:p>
    <w:p>
      <w:pPr>
        <w:spacing w:after="120"/>
      </w:pPr>
      <w:r>
        <w:t xml:space="preserve">Eén formulier per apparaat. Vul in wat je weet — "onbekend" is een geldig antwoord, "nog vast te leggen" niet.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Veld</w:t>
            </w:r>
          </w:p>
        </w:tc>
        <w:tc>
          <w:tcPr>
            <w:tcW w:type="dxa" w:w="5429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Invullen</w:t>
            </w:r>
          </w:p>
        </w:tc>
      </w:tr>
      <w:tr>
        <w:trPr>
          <w:tblHeader w:val="false"/>
        </w:trP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Apparaat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Type / model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Serienummer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 gebruik sinds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Nog in gebruik?  ja / nee — zo nee, sinds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Leverancier / servicepartij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Contactpersoon + telefoon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Onderhoudseis fabrikant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Bron van die eis (handleiding / leverancier / website / onbekend)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Frequentie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2808"/>
        <w:gridCol w:w="1872"/>
        <w:gridCol w:w="2059"/>
        <w:gridCol w:w="1310"/>
      </w:tblGrid>
      <w:tr>
        <w:trPr>
          <w:tblHeader/>
        </w:trPr>
        <w:tc>
          <w:tcPr>
            <w:tcW w:type="dxa" w:w="131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Datum</w:t>
            </w:r>
          </w:p>
        </w:tc>
        <w:tc>
          <w:tcPr>
            <w:tcW w:type="dxa" w:w="2808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Wat is uitgevoerd</w:t>
            </w:r>
          </w:p>
        </w:tc>
        <w:tc>
          <w:tcPr>
            <w:tcW w:type="dxa" w:w="1872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Door wie</w:t>
            </w:r>
          </w:p>
        </w:tc>
        <w:tc>
          <w:tcPr>
            <w:tcW w:type="dxa" w:w="2059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Bevindingen</w:t>
            </w:r>
          </w:p>
        </w:tc>
        <w:tc>
          <w:tcPr>
            <w:tcW w:type="dxa" w:w="131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Volgende beurt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Veld</w:t>
            </w:r>
          </w:p>
        </w:tc>
        <w:tc>
          <w:tcPr>
            <w:tcW w:type="dxa" w:w="5429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Invullen</w:t>
            </w:r>
          </w:p>
        </w:tc>
      </w:tr>
      <w:tr>
        <w:trPr>
          <w:tblHeader w:val="false"/>
        </w:trP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Bewijs aanwezig (servicerapport / factuur / mail / certificaat / geen)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Waar opgeslagen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(geregeld / bewijs ordenen / actie nodig)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Actie + deadline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Eigenaar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t xml:space="preserve">Als je niets kunt vinden</w:t>
      </w:r>
    </w:p>
    <w:p>
      <w:pPr>
        <w:spacing w:after="120"/>
      </w:pPr>
      <w:r>
        <w:t xml:space="preserve">Vul dan minimaal dit in — een beheerst proces is ook zonder rapport aantoonbaar:</w:t>
      </w:r>
    </w:p>
    <w:p>
      <w:pPr>
        <w:spacing w:after="120"/>
      </w:pPr>
      <w:r>
        <w:rPr>
          <w:i/>
          <w:iCs/>
        </w:rPr>
        <w:t xml:space="preserve">"Onderhoudseis: fabrikant schrijft jaarlijkse controle voor. Laatste controle onbekend. Leverancier benaderd op 26-07-2026, offerte onderhoudscontract aangevraagd. Verwachte inplanning Q3 2026."</w:t>
      </w:r>
    </w:p>
    <w:p>
      <w:pPr>
        <w:spacing w:after="120"/>
      </w:pPr>
      <w:r>
        <w:t xml:space="preserve">Dat is een antwoord. "Nog vast te leggen" is dat niet. Een factuur waaruit onderhoud blijkt, een mailwisseling over een servicebeurt of een garantiecertificaat met onderhoudsverplichting tellen ook als bewijs.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2026-07-26T14:52:18.614Z</dcterms:created>
  <dcterms:modified xsi:type="dcterms:W3CDTF">2026-07-26T14:52:18.614Z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