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X7eaeb5df6efe3f3d174dafa50aff3c32ad23df8"/>
      <w:r>
        <w:t xml:space="preserve">Verslag van de directiebeoordeling 2026 — VOORZET</w:t>
      </w:r>
      <w:bookmarkEnd w:id="20"/>
    </w:p>
    <w:p>
      <w:pPr>
        <w:pStyle w:val="FirstParagraph"/>
      </w:pPr>
      <w:r>
        <w:t xml:space="preserve">Tot stand gekomen met: Rogier Meulenaar, directeur</w:t>
      </w:r>
      <w:r>
        <w:t xml:space="preserve"> </w:t>
      </w:r>
      <w:r>
        <w:t xml:space="preserve">Datum:</w:t>
      </w:r>
      <w:r>
        <w:t xml:space="preserve"> </w:t>
      </w:r>
      <w:r>
        <w:rPr>
          <w:b/>
        </w:rPr>
        <w:t xml:space="preserve">[INVULLEN — kies datum vóór verzending aan auditor]</w:t>
      </w:r>
      <w:r>
        <w:t xml:space="preserve"> </w:t>
      </w:r>
      <w:r>
        <w:t xml:space="preserve">Betreft: PVI Clinic B.V., ISO 9001:2015, certificaat 2224371</w:t>
      </w:r>
    </w:p>
    <w:p>
      <w:pPr>
        <w:pStyle w:val="BlockText"/>
      </w:pPr>
      <w:r>
        <w:t xml:space="preserve">Opgezet op basis van directiebeoordeling 2025 (18-01-2025). Alle</w:t>
      </w:r>
      <w:r>
        <w:t xml:space="preserve"> </w:t>
      </w:r>
      <w:r>
        <w:rPr>
          <w:b/>
        </w:rPr>
        <w:t xml:space="preserve">[●]</w:t>
      </w:r>
      <w:r>
        <w:t xml:space="preserve">-velden zijn van Rogier. De structuur volgt ISO 9001 §9.3 (input/output directiebeoordeling).</w:t>
      </w:r>
    </w:p>
    <w:p>
      <w:pPr>
        <w:pStyle w:val="Heading2"/>
      </w:pPr>
      <w:bookmarkStart w:id="21" w:name="status-acties-vorige-directiebeoordeling"/>
      <w:r>
        <w:t xml:space="preserve">1. Status acties vorige directiebeoordeling</w:t>
      </w:r>
      <w:bookmarkEnd w:id="21"/>
    </w:p>
    <w:p>
      <w:pPr>
        <w:numPr>
          <w:ilvl w:val="0"/>
          <w:numId w:val="1001"/>
        </w:numPr>
        <w:pStyle w:val="Compact"/>
      </w:pPr>
      <w:r>
        <w:t xml:space="preserve">Notitie 2025:</w:t>
      </w:r>
      <w:r>
        <w:t xml:space="preserve"> </w:t>
      </w:r>
      <w:r>
        <w:t xml:space="preserve">“</w:t>
      </w:r>
      <w:r>
        <w:t xml:space="preserve">PVI methodiek evalueren</w:t>
      </w:r>
      <w:r>
        <w:t xml:space="preserve">”</w:t>
      </w:r>
      <w:r>
        <w:t xml:space="preserve"> </w:t>
      </w:r>
      <w:r>
        <w:t xml:space="preserve">→ status:</w:t>
      </w:r>
      <w:r>
        <w:t xml:space="preserve"> </w:t>
      </w:r>
      <w:r>
        <w:rPr>
          <w:b/>
        </w:rPr>
        <w:t xml:space="preserve">[●]</w:t>
      </w:r>
    </w:p>
    <w:p>
      <w:pPr>
        <w:numPr>
          <w:ilvl w:val="0"/>
          <w:numId w:val="1001"/>
        </w:numPr>
        <w:pStyle w:val="Compact"/>
      </w:pPr>
      <w:r>
        <w:t xml:space="preserve">Tekortkoming audit feb 2025 (§8.5.4): afgehandeld — zie §5.</w:t>
      </w:r>
    </w:p>
    <w:p>
      <w:pPr>
        <w:pStyle w:val="Heading2"/>
      </w:pPr>
      <w:bookmarkStart w:id="22" w:name="contextanalyse-wijzigingen"/>
      <w:r>
        <w:t xml:space="preserve">2. Contextanalyse / wijzigingen</w:t>
      </w:r>
      <w:bookmarkEnd w:id="22"/>
    </w:p>
    <w:p>
      <w:pPr>
        <w:numPr>
          <w:ilvl w:val="0"/>
          <w:numId w:val="1002"/>
        </w:numPr>
        <w:pStyle w:val="Compact"/>
      </w:pPr>
      <w:r>
        <w:t xml:space="preserve">Wijzigingen in organisatie, locaties, scope:</w:t>
      </w:r>
      <w:r>
        <w:t xml:space="preserve"> </w:t>
      </w:r>
      <w:r>
        <w:rPr>
          <w:b/>
        </w:rPr>
        <w:t xml:space="preserve">[●]</w:t>
      </w:r>
      <w:r>
        <w:t xml:space="preserve"> </w:t>
      </w:r>
      <w:r>
        <w:t xml:space="preserve">(consistent houden met antwoord in mail aan auditor)</w:t>
      </w:r>
    </w:p>
    <w:p>
      <w:pPr>
        <w:numPr>
          <w:ilvl w:val="0"/>
          <w:numId w:val="1002"/>
        </w:numPr>
        <w:pStyle w:val="Compact"/>
      </w:pPr>
      <w:r>
        <w:t xml:space="preserve">Locaties peildatum 2025: Nijmegen (Max Tailleurpad?), Enschede, Sittard; Veldhoven opgezegd. Actueel:</w:t>
      </w:r>
      <w:r>
        <w:t xml:space="preserve"> </w:t>
      </w:r>
      <w:r>
        <w:rPr>
          <w:b/>
        </w:rPr>
        <w:t xml:space="preserve">[●]</w:t>
      </w:r>
    </w:p>
    <w:p>
      <w:pPr>
        <w:numPr>
          <w:ilvl w:val="0"/>
          <w:numId w:val="1002"/>
        </w:numPr>
        <w:pStyle w:val="Compact"/>
      </w:pPr>
      <w:r>
        <w:t xml:space="preserve">Stakeholders: geen materiële wijzigingen /</w:t>
      </w:r>
      <w:r>
        <w:t xml:space="preserve"> </w:t>
      </w:r>
      <w:r>
        <w:rPr>
          <w:b/>
        </w:rPr>
        <w:t xml:space="preserve">[●]</w:t>
      </w:r>
    </w:p>
    <w:p>
      <w:pPr>
        <w:pStyle w:val="Heading2"/>
      </w:pPr>
      <w:bookmarkStart w:id="23" w:name="procesprestaties-en-kpis"/>
      <w:r>
        <w:t xml:space="preserve">3. Procesprestaties en KPI’s</w:t>
      </w:r>
      <w:bookmarkEnd w:id="23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Doel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2026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2025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2024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Aanbevelingspercentage klanten</w:t>
            </w:r>
          </w:p>
        </w:tc>
        <w:tc>
          <w:p>
            <w:pPr>
              <w:pStyle w:val="Compact"/>
              <w:jc w:val="left"/>
            </w:pPr>
            <w:r>
              <w:t xml:space="preserve">95%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[●]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[●]</w:t>
            </w:r>
          </w:p>
        </w:tc>
        <w:tc>
          <w:p>
            <w:pPr>
              <w:pStyle w:val="Compact"/>
              <w:jc w:val="left"/>
            </w:pPr>
            <w:r>
              <w:t xml:space="preserve">96%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Werknemersverloop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[●]</w:t>
            </w:r>
          </w:p>
        </w:tc>
        <w:tc>
          <w:p>
            <w:pPr>
              <w:pStyle w:val="Compact"/>
              <w:jc w:val="left"/>
            </w:pPr>
            <w:r>
              <w:t xml:space="preserve">0/3</w:t>
            </w:r>
          </w:p>
        </w:tc>
        <w:tc>
          <w:p>
            <w:pPr>
              <w:pStyle w:val="Compact"/>
              <w:jc w:val="left"/>
            </w:pPr>
            <w:r>
              <w:t xml:space="preserve">1/3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Incidenten</w:t>
            </w:r>
          </w:p>
        </w:tc>
        <w:tc>
          <w:p>
            <w:pPr>
              <w:pStyle w:val="Compact"/>
              <w:jc w:val="left"/>
            </w:pPr>
            <w:r>
              <w:t xml:space="preserve">&lt;20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[●]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[●]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% ontevredenheid</w:t>
            </w:r>
          </w:p>
        </w:tc>
        <w:tc>
          <w:p>
            <w:pPr>
              <w:pStyle w:val="Compact"/>
              <w:jc w:val="left"/>
            </w:pPr>
            <w:r>
              <w:t xml:space="preserve">3,1%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[●]</w:t>
            </w:r>
          </w:p>
        </w:tc>
        <w:tc>
          <w:p>
            <w:pPr>
              <w:pStyle w:val="Compact"/>
              <w:jc w:val="left"/>
            </w:pPr>
            <w:r>
              <w:t xml:space="preserve">5%</w:t>
            </w:r>
          </w:p>
        </w:tc>
        <w:tc>
          <w:p>
            <w:pPr>
              <w:pStyle w:val="Compact"/>
              <w:jc w:val="left"/>
            </w:pPr>
            <w:r>
              <w:t xml:space="preserve">5%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% complicaties</w:t>
            </w:r>
          </w:p>
        </w:tc>
        <w:tc>
          <w:p>
            <w:pPr>
              <w:pStyle w:val="Compact"/>
              <w:jc w:val="left"/>
            </w:pPr>
            <w:r>
              <w:t xml:space="preserve">0,1%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[●]</w:t>
            </w:r>
          </w:p>
        </w:tc>
        <w:tc>
          <w:p>
            <w:pPr>
              <w:pStyle w:val="Compact"/>
              <w:jc w:val="left"/>
            </w:pPr>
            <w:r>
              <w:t xml:space="preserve">1%</w:t>
            </w:r>
          </w:p>
        </w:tc>
        <w:tc>
          <w:p>
            <w:pPr>
              <w:pStyle w:val="Compact"/>
              <w:jc w:val="left"/>
            </w:pPr>
            <w:r>
              <w:t xml:space="preserve">1%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Omzet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[●]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[●]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t xml:space="preserve">900.000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Winst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[●]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[●]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t xml:space="preserve">350.000</w:t>
            </w:r>
          </w:p>
        </w:tc>
      </w:tr>
    </w:tbl>
    <w:p>
      <w:pPr>
        <w:pStyle w:val="BodyText"/>
      </w:pPr>
      <w:r>
        <w:t xml:space="preserve">Toelichting:</w:t>
      </w:r>
      <w:r>
        <w:t xml:space="preserve"> </w:t>
      </w:r>
      <w:r>
        <w:rPr>
          <w:b/>
        </w:rPr>
        <w:t xml:space="preserve">[●]</w:t>
      </w:r>
    </w:p>
    <w:p>
      <w:pPr>
        <w:pStyle w:val="Heading2"/>
      </w:pPr>
      <w:bookmarkStart w:id="24" w:name="klachten-en-incidenten"/>
      <w:r>
        <w:t xml:space="preserve">4. Klachten en incidenten</w:t>
      </w:r>
      <w:bookmarkEnd w:id="24"/>
    </w:p>
    <w:p>
      <w:pPr>
        <w:numPr>
          <w:ilvl w:val="0"/>
          <w:numId w:val="1003"/>
        </w:numPr>
        <w:pStyle w:val="Compact"/>
      </w:pPr>
      <w:r>
        <w:t xml:space="preserve">Calamiteiten:</w:t>
      </w:r>
      <w:r>
        <w:t xml:space="preserve"> </w:t>
      </w:r>
      <w:r>
        <w:rPr>
          <w:b/>
        </w:rPr>
        <w:t xml:space="preserve">[●]</w:t>
      </w:r>
      <w:r>
        <w:t xml:space="preserve"> </w:t>
      </w:r>
      <w:r>
        <w:t xml:space="preserve">(verwacht: geen)</w:t>
      </w:r>
    </w:p>
    <w:p>
      <w:pPr>
        <w:numPr>
          <w:ilvl w:val="0"/>
          <w:numId w:val="1003"/>
        </w:numPr>
        <w:pStyle w:val="Compact"/>
      </w:pPr>
      <w:r>
        <w:t xml:space="preserve">Formele klachten:</w:t>
      </w:r>
      <w:r>
        <w:t xml:space="preserve"> </w:t>
      </w:r>
      <w:r>
        <w:rPr>
          <w:b/>
        </w:rPr>
        <w:t xml:space="preserve">[●]</w:t>
      </w:r>
      <w:r>
        <w:t xml:space="preserve"> </w:t>
      </w:r>
      <w:r>
        <w:t xml:space="preserve">(verwacht: geen)</w:t>
      </w:r>
    </w:p>
    <w:p>
      <w:pPr>
        <w:numPr>
          <w:ilvl w:val="0"/>
          <w:numId w:val="1003"/>
        </w:numPr>
        <w:pStyle w:val="Compact"/>
      </w:pPr>
      <w:r>
        <w:t xml:space="preserve">Inspectie (IGJ):</w:t>
      </w:r>
      <w:r>
        <w:t xml:space="preserve"> </w:t>
      </w:r>
      <w:r>
        <w:rPr>
          <w:b/>
        </w:rPr>
        <w:t xml:space="preserve">[●]</w:t>
      </w:r>
      <w:r>
        <w:t xml:space="preserve"> </w:t>
      </w:r>
      <w:r>
        <w:t xml:space="preserve">(verwacht: geen contact)</w:t>
      </w:r>
    </w:p>
    <w:p>
      <w:pPr>
        <w:numPr>
          <w:ilvl w:val="0"/>
          <w:numId w:val="1003"/>
        </w:numPr>
        <w:pStyle w:val="Compact"/>
      </w:pPr>
      <w:r>
        <w:t xml:space="preserve">Analyse ontevredenheidsregistraties:</w:t>
      </w:r>
      <w:r>
        <w:t xml:space="preserve"> </w:t>
      </w:r>
      <w:r>
        <w:rPr>
          <w:b/>
        </w:rPr>
        <w:t xml:space="preserve">[●]</w:t>
      </w:r>
    </w:p>
    <w:p>
      <w:pPr>
        <w:pStyle w:val="Heading2"/>
      </w:pPr>
      <w:bookmarkStart w:id="25" w:name="X5826d931e559579a02421bcd3888813ccc7bba8"/>
      <w:r>
        <w:t xml:space="preserve">5. Auditresultaten en corrigerende maatregelen</w:t>
      </w:r>
      <w:bookmarkEnd w:id="25"/>
    </w:p>
    <w:p>
      <w:pPr>
        <w:numPr>
          <w:ilvl w:val="0"/>
          <w:numId w:val="1004"/>
        </w:numPr>
        <w:pStyle w:val="Compact"/>
      </w:pPr>
      <w:r>
        <w:t xml:space="preserve">Vervolgaudit 24-02-2025: 1 ernstige tekortkoming (§8.5.4, verlopen producten).</w:t>
      </w:r>
    </w:p>
    <w:p>
      <w:pPr>
        <w:numPr>
          <w:ilvl w:val="0"/>
          <w:numId w:val="1004"/>
        </w:numPr>
        <w:pStyle w:val="Compact"/>
      </w:pPr>
      <w:r>
        <w:t xml:space="preserve">Corrigerende maatregelen geïmplementeerd (SOP Voorraadbeheer v1.0, maandelijkse controle, FIFO, voorraadrationalisatie naar ±15 kernproducten, just-in-time). Door DEKRA beoordeeld 08-08-2025.</w:t>
      </w:r>
    </w:p>
    <w:p>
      <w:pPr>
        <w:numPr>
          <w:ilvl w:val="0"/>
          <w:numId w:val="1004"/>
        </w:numPr>
        <w:pStyle w:val="Compact"/>
      </w:pPr>
      <w:r>
        <w:t xml:space="preserve">Doeltreffendheid: 0 verlopen producten bij maandelijkse controles sinds maart 2025. Registraties t/m heden:</w:t>
      </w:r>
      <w:r>
        <w:t xml:space="preserve"> </w:t>
      </w:r>
      <w:r>
        <w:rPr>
          <w:b/>
        </w:rPr>
        <w:t xml:space="preserve">[● — verzamelen, dit is kerndossier voor de audit]</w:t>
      </w:r>
    </w:p>
    <w:p>
      <w:pPr>
        <w:numPr>
          <w:ilvl w:val="0"/>
          <w:numId w:val="1004"/>
        </w:numPr>
        <w:pStyle w:val="Compact"/>
      </w:pPr>
      <w:r>
        <w:t xml:space="preserve">Status Fase 4 (digitalisering voorraadsysteem, gepland Q4 2025):</w:t>
      </w:r>
      <w:r>
        <w:t xml:space="preserve"> </w:t>
      </w:r>
      <w:r>
        <w:rPr>
          <w:b/>
        </w:rPr>
        <w:t xml:space="preserve">[●]</w:t>
      </w:r>
    </w:p>
    <w:p>
      <w:pPr>
        <w:numPr>
          <w:ilvl w:val="0"/>
          <w:numId w:val="1004"/>
        </w:numPr>
        <w:pStyle w:val="Compact"/>
      </w:pPr>
      <w:r>
        <w:t xml:space="preserve">Interne audits afgelopen jaar:</w:t>
      </w:r>
      <w:r>
        <w:t xml:space="preserve"> </w:t>
      </w:r>
      <w:r>
        <w:rPr>
          <w:b/>
        </w:rPr>
        <w:t xml:space="preserve">[● — uitgevoerd? ISO eist een intern auditprogramma; zo niet, alsnog vóór de externe audit één interne audit uitvoeren en vastleggen]</w:t>
      </w:r>
    </w:p>
    <w:p>
      <w:pPr>
        <w:pStyle w:val="Heading2"/>
      </w:pPr>
      <w:bookmarkStart w:id="26" w:name="leveranciersbeoordeling"/>
      <w:r>
        <w:t xml:space="preserve">6. Leveranciersbeoordeling</w:t>
      </w:r>
      <w:bookmarkEnd w:id="26"/>
    </w:p>
    <w:p>
      <w:pPr>
        <w:pStyle w:val="FirstParagraph"/>
      </w:pPr>
      <w:r>
        <w:t xml:space="preserve">Merz, Croma, Galderma, Sure Medical, Dalton Medical: samenwerking goed /</w:t>
      </w:r>
      <w:r>
        <w:t xml:space="preserve"> </w:t>
      </w:r>
      <w:r>
        <w:rPr>
          <w:b/>
        </w:rPr>
        <w:t xml:space="preserve">[●]</w:t>
      </w:r>
      <w:r>
        <w:t xml:space="preserve"> </w:t>
      </w:r>
      <w:r>
        <w:t xml:space="preserve">Ondersteunend: Simape (administratie), Dekra (certificering), apotheek:</w:t>
      </w:r>
      <w:r>
        <w:t xml:space="preserve"> </w:t>
      </w:r>
      <w:r>
        <w:rPr>
          <w:b/>
        </w:rPr>
        <w:t xml:space="preserve">[●]</w:t>
      </w:r>
    </w:p>
    <w:p>
      <w:pPr>
        <w:pStyle w:val="Heading2"/>
      </w:pPr>
      <w:bookmarkStart w:id="27" w:name="wet--en-regelgeving"/>
      <w:r>
        <w:t xml:space="preserve">7. Wet- en regelgeving</w:t>
      </w:r>
      <w:bookmarkEnd w:id="27"/>
    </w:p>
    <w:p>
      <w:pPr>
        <w:pStyle w:val="FirstParagraph"/>
      </w:pPr>
      <w:r>
        <w:t xml:space="preserve">AVG, Wet BIG, Wkkgz, WGBO: geen issues /</w:t>
      </w:r>
      <w:r>
        <w:t xml:space="preserve"> </w:t>
      </w:r>
      <w:r>
        <w:rPr>
          <w:b/>
        </w:rPr>
        <w:t xml:space="preserve">[●]</w:t>
      </w:r>
      <w:r>
        <w:t xml:space="preserve"> </w:t>
      </w:r>
      <w:r>
        <w:t xml:space="preserve">Geneesmiddelenwet / Besluit medische hulpmiddelen: openstaand punt uit 2025 (audit door apotheker niet gerealiseerd) → status:</w:t>
      </w:r>
      <w:r>
        <w:t xml:space="preserve"> </w:t>
      </w:r>
      <w:r>
        <w:rPr>
          <w:b/>
        </w:rPr>
        <w:t xml:space="preserve">[●]</w:t>
      </w:r>
      <w:r>
        <w:t xml:space="preserve"> </w:t>
      </w:r>
      <w:r>
        <w:t xml:space="preserve">Veldnorm cosmetische sector: doorgevoerd.</w:t>
      </w:r>
    </w:p>
    <w:p>
      <w:pPr>
        <w:pStyle w:val="Heading2"/>
      </w:pPr>
      <w:bookmarkStart w:id="28" w:name="middelen-en-competenties"/>
      <w:r>
        <w:t xml:space="preserve">8. Middelen en competenties</w:t>
      </w:r>
      <w:bookmarkEnd w:id="28"/>
    </w:p>
    <w:p>
      <w:pPr>
        <w:numPr>
          <w:ilvl w:val="0"/>
          <w:numId w:val="1005"/>
        </w:numPr>
        <w:pStyle w:val="Compact"/>
      </w:pPr>
      <w:r>
        <w:t xml:space="preserve">Team:</w:t>
      </w:r>
      <w:r>
        <w:t xml:space="preserve"> </w:t>
      </w:r>
      <w:r>
        <w:rPr>
          <w:b/>
        </w:rPr>
        <w:t xml:space="preserve">[●]</w:t>
      </w:r>
      <w:r>
        <w:t xml:space="preserve"> </w:t>
      </w:r>
      <w:r>
        <w:t xml:space="preserve">(2,5 FTE — bevestigen)</w:t>
      </w:r>
    </w:p>
    <w:p>
      <w:pPr>
        <w:numPr>
          <w:ilvl w:val="0"/>
          <w:numId w:val="1005"/>
        </w:numPr>
        <w:pStyle w:val="Compact"/>
      </w:pPr>
      <w:r>
        <w:t xml:space="preserve">Bekwaamheden/BIG-registratie, GAIA-accreditatie: actueel /</w:t>
      </w:r>
      <w:r>
        <w:t xml:space="preserve"> </w:t>
      </w:r>
      <w:r>
        <w:rPr>
          <w:b/>
        </w:rPr>
        <w:t xml:space="preserve">[●]</w:t>
      </w:r>
    </w:p>
    <w:p>
      <w:pPr>
        <w:numPr>
          <w:ilvl w:val="0"/>
          <w:numId w:val="1005"/>
        </w:numPr>
        <w:pStyle w:val="Compact"/>
      </w:pPr>
      <w:r>
        <w:t xml:space="preserve">Apparatuur en onderhoud:</w:t>
      </w:r>
      <w:r>
        <w:t xml:space="preserve"> </w:t>
      </w:r>
      <w:r>
        <w:rPr>
          <w:b/>
        </w:rPr>
        <w:t xml:space="preserve">[●]</w:t>
      </w:r>
    </w:p>
    <w:p>
      <w:pPr>
        <w:pStyle w:val="Heading2"/>
      </w:pPr>
      <w:bookmarkStart w:id="29" w:name="X1a6b5e252d898a43c21256cd1a343830e2b946b"/>
      <w:r>
        <w:t xml:space="preserve">9. Doelstellingen en plannen 2026/2027 (meesturen aan auditor)</w:t>
      </w:r>
      <w:bookmarkEnd w:id="29"/>
    </w:p>
    <w:p>
      <w:pPr>
        <w:numPr>
          <w:ilvl w:val="0"/>
          <w:numId w:val="1006"/>
        </w:numPr>
        <w:pStyle w:val="Compact"/>
      </w:pPr>
      <w:r>
        <w:rPr>
          <w:b/>
        </w:rPr>
        <w:t xml:space="preserve">[●]</w:t>
      </w:r>
      <w:r>
        <w:t xml:space="preserve"> </w:t>
      </w:r>
      <w:r>
        <w:t xml:space="preserve">— bijv. borging voorraadbeheer: 12/12 maandcontroles uitgevoerd, 0 verlopen producten</w:t>
      </w:r>
    </w:p>
    <w:p>
      <w:pPr>
        <w:numPr>
          <w:ilvl w:val="0"/>
          <w:numId w:val="1006"/>
        </w:numPr>
        <w:pStyle w:val="Compact"/>
      </w:pPr>
      <w:r>
        <w:rPr>
          <w:b/>
        </w:rPr>
        <w:t xml:space="preserve">[●]</w:t>
      </w:r>
      <w:r>
        <w:t xml:space="preserve"> </w:t>
      </w:r>
      <w:r>
        <w:t xml:space="preserve">— bijv. digitalisering voorraad/kwaliteitssysteem afronden</w:t>
      </w:r>
    </w:p>
    <w:p>
      <w:pPr>
        <w:numPr>
          <w:ilvl w:val="0"/>
          <w:numId w:val="1006"/>
        </w:numPr>
        <w:pStyle w:val="Compact"/>
      </w:pPr>
      <w:r>
        <w:rPr>
          <w:b/>
        </w:rPr>
        <w:t xml:space="preserve">[●]</w:t>
      </w:r>
      <w:r>
        <w:t xml:space="preserve"> </w:t>
      </w:r>
      <w:r>
        <w:t xml:space="preserve">— bijv. omzet/retentie-doel</w:t>
      </w:r>
    </w:p>
    <w:p>
      <w:pPr>
        <w:numPr>
          <w:ilvl w:val="0"/>
          <w:numId w:val="1006"/>
        </w:numPr>
        <w:pStyle w:val="Compact"/>
      </w:pPr>
      <w:r>
        <w:rPr>
          <w:b/>
        </w:rPr>
        <w:t xml:space="preserve">[●]</w:t>
      </w:r>
      <w:r>
        <w:t xml:space="preserve"> </w:t>
      </w:r>
      <w:r>
        <w:t xml:space="preserve">— bijv. interne auditprogramma + klanttevredenheidsmeting plannen</w:t>
      </w:r>
    </w:p>
    <w:p>
      <w:pPr>
        <w:pStyle w:val="Heading2"/>
      </w:pPr>
      <w:bookmarkStart w:id="30" w:name="conclusie-directie"/>
      <w:r>
        <w:t xml:space="preserve">10. Conclusie directie</w:t>
      </w:r>
      <w:bookmarkEnd w:id="30"/>
    </w:p>
    <w:p>
      <w:pPr>
        <w:pStyle w:val="FirstParagraph"/>
      </w:pPr>
      <w:r>
        <w:t xml:space="preserve">Het kwaliteitsmanagementsysteem is</w:t>
      </w:r>
      <w:r>
        <w:t xml:space="preserve"> </w:t>
      </w:r>
      <w:r>
        <w:rPr>
          <w:b/>
        </w:rPr>
        <w:t xml:space="preserve">[●]</w:t>
      </w:r>
      <w:r>
        <w:t xml:space="preserve"> </w:t>
      </w:r>
      <w:r>
        <w:t xml:space="preserve">geschikt, toereikend en doeltreffend. Besluiten en benodigde middelen:</w:t>
      </w:r>
      <w:r>
        <w:t xml:space="preserve"> </w:t>
      </w:r>
      <w:r>
        <w:rPr>
          <w:b/>
        </w:rPr>
        <w:t xml:space="preserve">[●]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abstractNum w:abstractNumId="99411">
    <w:nsid w:val="71315dca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2026-06-12T18:47:05Z</dcterms:created>
  <dcterms:modified xsi:type="dcterms:W3CDTF">2026-06-12T18:47:05Z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