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isicoregister-2026-pvi-clinic-b.v."/>
      <w:r>
        <w:t xml:space="preserve">Risicoregister 2026 — PVI Clinic B.V.</w:t>
      </w:r>
      <w:bookmarkEnd w:id="20"/>
    </w:p>
    <w:p>
      <w:pPr>
        <w:pStyle w:val="FirstParagraph"/>
      </w:pPr>
      <w:r>
        <w:t xml:space="preserve">Datum: [invullen bij vaststelling] | Eigenaar: R. Meulenaar | Vorige versie: 2020 (vervangen)</w:t>
      </w:r>
      <w:r>
        <w:t xml:space="preserve"> </w:t>
      </w:r>
      <w:r>
        <w:t xml:space="preserve">Methodiek: kans (1-3) × impact (1-3) = score; score ≥6 vereist beheersmaatregel met eigenaar.</w:t>
      </w:r>
    </w:p>
    <w:p>
      <w:pPr>
        <w:pStyle w:val="BlockText"/>
      </w:pPr>
      <w:r>
        <w:t xml:space="preserve">VOORZET op basis van het systeem en de auditrapporten. We lopen hem samen door: per regel zeg jij of het klopt, wat ontbreekt, en wat de echte kans/impact is. Risico’s die jij erbij wil: onderaan toevoegen.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Risico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Beheersmaatregel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p>
            <w:pPr>
              <w:pStyle w:val="Compact"/>
              <w:jc w:val="left"/>
            </w:pPr>
            <w:r>
              <w:t xml:space="preserve">Verlopen producten in voorraad (herhaling tekortkoming 8.5.4)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Maandcontrole + foto, FIFO, kleine voorraad, SOP Voorraadbeheer</w:t>
            </w:r>
          </w:p>
        </w:tc>
        <w:tc>
          <w:p>
            <w:pPr>
              <w:pStyle w:val="Compact"/>
              <w:jc w:val="left"/>
            </w:pPr>
            <w:r>
              <w:t xml:space="preserve">Hervat per jun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p>
            <w:pPr>
              <w:pStyle w:val="Compact"/>
              <w:jc w:val="left"/>
            </w:pPr>
            <w:r>
              <w:t xml:space="preserve">Periodieke taken vallen stil bij drukte/afwezigheid (wortel-oorzaak 2025)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Jaarkalender + roulatie + back-up per taak</w:t>
            </w:r>
          </w:p>
        </w:tc>
        <w:tc>
          <w:p>
            <w:pPr>
              <w:pStyle w:val="Compact"/>
              <w:jc w:val="left"/>
            </w:pPr>
            <w:r>
              <w:t xml:space="preserve">In te richten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p>
            <w:pPr>
              <w:pStyle w:val="Compact"/>
              <w:jc w:val="left"/>
            </w:pPr>
            <w:r>
              <w:t xml:space="preserve">Interne audits/directiebeoordeling niet uitgevoerd (herhaling §9.2)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Vaste datum in jaarkalender, reminder, dit register</w:t>
            </w:r>
          </w:p>
        </w:tc>
        <w:tc>
          <w:p>
            <w:pPr>
              <w:pStyle w:val="Compact"/>
              <w:jc w:val="left"/>
            </w:pPr>
            <w:r>
              <w:t xml:space="preserve">Loopt nu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p>
            <w:pPr>
              <w:pStyle w:val="Compact"/>
              <w:jc w:val="left"/>
            </w:pPr>
            <w:r>
              <w:t xml:space="preserve">Complicatie bij behandeling (medisch)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Protocollen, noodtas, bekwaamheid arts, verwijsafspraken</w:t>
            </w:r>
          </w:p>
        </w:tc>
        <w:tc>
          <w:p>
            <w:pPr>
              <w:pStyle w:val="Compact"/>
              <w:jc w:val="left"/>
            </w:pPr>
            <w:r>
              <w:t xml:space="preserve">Actueel houden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p>
            <w:pPr>
              <w:pStyle w:val="Compact"/>
              <w:jc w:val="left"/>
            </w:pPr>
            <w:r>
              <w:t xml:space="preserve">Verkeerde verwachtingen klant → ontevredenheid/klacht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Vectra/Faceapp, informed consent, nabellen</w:t>
            </w:r>
          </w:p>
        </w:tc>
        <w:tc>
          <w:p>
            <w:pPr>
              <w:pStyle w:val="Compact"/>
              <w:jc w:val="left"/>
            </w:pPr>
            <w:r>
              <w:t xml:space="preserve">Doorlopend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p>
            <w:pPr>
              <w:pStyle w:val="Compact"/>
              <w:jc w:val="left"/>
            </w:pPr>
            <w:r>
              <w:t xml:space="preserve">Datalek / AVG-incident (patiëntgegevens, Clinicminds)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SOP AVG, toegangsbeheer, verwerkersovereenkomsten</w:t>
            </w:r>
          </w:p>
        </w:tc>
        <w:tc>
          <w:p>
            <w:pPr>
              <w:pStyle w:val="Compact"/>
              <w:jc w:val="left"/>
            </w:pPr>
            <w:r>
              <w:t xml:space="preserve">Check verwerkersovereenkomsten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p>
            <w:pPr>
              <w:pStyle w:val="Compact"/>
              <w:jc w:val="left"/>
            </w:pPr>
            <w:r>
              <w:t xml:space="preserve">Sleutelpersoon-risico: alles hangt op één arts/directeur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Taken delen met team, documentatie op orde (dit systeem)</w:t>
            </w:r>
          </w:p>
        </w:tc>
        <w:tc>
          <w:p>
            <w:pPr>
              <w:pStyle w:val="Compact"/>
              <w:jc w:val="left"/>
            </w:pPr>
            <w:r>
              <w:t xml:space="preserve">Structureel aandachtspunt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p>
            <w:pPr>
              <w:pStyle w:val="Compact"/>
              <w:jc w:val="left"/>
            </w:pPr>
            <w:r>
              <w:t xml:space="preserve">Apparatuur niet onderhouden → uitval of onveilig (laser, koelkast)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Apparatuuroverzicht + onderhoudsschema (verbeterpunt Dekra)</w:t>
            </w:r>
          </w:p>
        </w:tc>
        <w:tc>
          <w:p>
            <w:pPr>
              <w:pStyle w:val="Compact"/>
              <w:jc w:val="left"/>
            </w:pPr>
            <w:r>
              <w:t xml:space="preserve">Op te stellen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p>
            <w:pPr>
              <w:pStyle w:val="Compact"/>
              <w:jc w:val="left"/>
            </w:pPr>
            <w:r>
              <w:t xml:space="preserve">Koelketen-falen medicatiekoelkast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Dagelijkse temperatuurregistratie</w:t>
            </w:r>
          </w:p>
        </w:tc>
        <w:tc>
          <w:p>
            <w:pPr>
              <w:pStyle w:val="Compact"/>
              <w:jc w:val="left"/>
            </w:pPr>
            <w:r>
              <w:t xml:space="preserve">Doorgelopen? checken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p>
            <w:pPr>
              <w:pStyle w:val="Compact"/>
              <w:jc w:val="left"/>
            </w:pPr>
            <w:r>
              <w:t xml:space="preserve">Diensten buiten certificaatscope aangeboden zonder melding (TRT, GLP-1, BHT)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Scope-check, zo nodig melden aan DEKRA</w:t>
            </w:r>
          </w:p>
        </w:tc>
        <w:tc>
          <w:p>
            <w:pPr>
              <w:pStyle w:val="Compact"/>
              <w:jc w:val="left"/>
            </w:pPr>
            <w:r>
              <w:t xml:space="preserve">NU beoordelen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p>
            <w:pPr>
              <w:pStyle w:val="Compact"/>
              <w:jc w:val="left"/>
            </w:pPr>
            <w:r>
              <w:t xml:space="preserve">Cyber/continuïteit: verlies toegang systemen (Clinicminds, Drive)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Wachtwoordbeheer, back-up afspraken leveranciers</w:t>
            </w:r>
          </w:p>
        </w:tc>
        <w:tc>
          <w:p>
            <w:pPr>
              <w:pStyle w:val="Compact"/>
              <w:jc w:val="left"/>
            </w:pPr>
            <w:r>
              <w:t xml:space="preserve">Laag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p>
            <w:pPr>
              <w:pStyle w:val="Compact"/>
              <w:jc w:val="left"/>
            </w:pPr>
            <w:r>
              <w:t xml:space="preserve">Financieel: debiteuren/cashflow raakt kwaliteit (bijv. onbetaalde certificeerder)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Betaalkalender vaste verplichtingen</w:t>
            </w:r>
          </w:p>
        </w:tc>
        <w:tc>
          <w:p>
            <w:pPr>
              <w:pStyle w:val="Compact"/>
              <w:jc w:val="left"/>
            </w:pPr>
            <w:r>
              <w:t xml:space="preserve">Dekra-factuur betalen</w:t>
            </w:r>
          </w:p>
        </w:tc>
      </w:tr>
    </w:tbl>
    <w:p>
      <w:pPr>
        <w:pStyle w:val="Heading2"/>
      </w:pPr>
      <w:bookmarkStart w:id="21" w:name="toelichting-scores"/>
      <w:r>
        <w:t xml:space="preserve">Toelichting scores</w:t>
      </w:r>
      <w:bookmarkEnd w:id="21"/>
    </w:p>
    <w:p>
      <w:pPr>
        <w:pStyle w:val="FirstParagraph"/>
      </w:pPr>
      <w:r>
        <w:t xml:space="preserve">[Per risico ≥6 een regel: waarom deze inschatting, wat is er dit jaar gebeurd]</w:t>
      </w:r>
    </w:p>
    <w:p>
      <w:pPr>
        <w:pStyle w:val="Heading2"/>
      </w:pPr>
      <w:bookmarkStart w:id="22" w:name="besluit-directie"/>
      <w:r>
        <w:t xml:space="preserve">Besluit directie</w:t>
      </w:r>
      <w:bookmarkEnd w:id="22"/>
    </w:p>
    <w:p>
      <w:pPr>
        <w:pStyle w:val="FirstParagraph"/>
      </w:pPr>
      <w:r>
        <w:t xml:space="preserve">[Vastgesteld op …, volgende herziening: jaarlijks bij directiebeoordeling]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2026-06-12T18:49:44Z</dcterms:created>
  <dcterms:modified xsi:type="dcterms:W3CDTF">2026-06-12T18:49:44Z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