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0"/>
        <w:rPr>
          <w:sz w:val="56"/>
          <w:szCs w:val="56"/>
          <w:highlight w:val="none"/>
        </w:rPr>
      </w:pPr>
      <w:r>
        <w:rPr>
          <w:sz w:val="56"/>
          <w:szCs w:val="56"/>
          <w:highlight w:val="none"/>
        </w:rPr>
        <w:t xml:space="preserve">Wartime Propaganda in Social Media</w:t>
      </w:r>
      <w:r/>
    </w:p>
    <w:p>
      <w:pPr>
        <w:pStyle w:val="650"/>
        <w:rPr>
          <w:highlight w:val="yellow"/>
        </w:rPr>
      </w:pPr>
      <w:r>
        <w:rPr>
          <w:highlight w:val="yellow"/>
        </w:rPr>
        <w:t xml:space="preserve">TODOs:</w:t>
      </w:r>
      <w:r>
        <w:rPr>
          <w:highlight w:val="yellow"/>
        </w:rPr>
      </w:r>
    </w:p>
    <w:p>
      <w:pPr>
        <w:rPr>
          <w:highlight w:val="yellow"/>
        </w:rPr>
      </w:pPr>
      <w:r>
        <w:rPr>
          <w:highlight w:val="yellow"/>
        </w:rPr>
        <w:t xml:space="preserve">Table of contents</w:t>
      </w:r>
      <w:r>
        <w:rPr>
          <w:highlight w:val="yellow"/>
        </w:rPr>
      </w:r>
    </w:p>
    <w:p>
      <w:pPr>
        <w:rPr>
          <w:highlight w:val="yellow"/>
        </w:rPr>
      </w:pPr>
      <w:r>
        <w:rPr>
          <w:highlight w:val="yellow"/>
        </w:rPr>
        <w:t xml:space="preserve">Abstract</w:t>
      </w:r>
      <w:r>
        <w:rPr>
          <w:highlight w:val="yellow"/>
        </w:rPr>
      </w:r>
    </w:p>
    <w:p>
      <w:pPr>
        <w:rPr>
          <w:highlight w:val="yellow"/>
        </w:rPr>
      </w:pPr>
      <w:r>
        <w:rPr>
          <w:highlight w:val="yellow"/>
        </w:rPr>
        <w:t xml:space="preserve">Links for figures, tables, citations</w:t>
      </w:r>
      <w:r>
        <w:rPr>
          <w:highlight w:val="yellow"/>
        </w:rPr>
      </w:r>
    </w:p>
    <w:p>
      <w:pPr>
        <w:pStyle w:val="650"/>
        <w:rPr>
          <w:highlight w:val="none"/>
        </w:rPr>
      </w:pPr>
      <w:r>
        <w:rPr>
          <w:highlight w:val="none"/>
        </w:rPr>
        <w:t xml:space="preserve">Introduction</w:t>
      </w:r>
      <w:r>
        <w:rPr>
          <w:highlight w:val="none"/>
        </w:rPr>
      </w:r>
      <w:r/>
    </w:p>
    <w:p>
      <w:pPr>
        <w:pStyle w:val="656"/>
      </w:pPr>
      <w:r>
        <w:rPr>
          <w:highlight w:val="none"/>
        </w:rPr>
        <w:t xml:space="preserve">Purpose of this study</w:t>
      </w:r>
      <w:r>
        <w:rPr>
          <w:bCs w:val="0"/>
          <w:i w:val="0"/>
          <w:highlight w:val="none"/>
        </w:rPr>
      </w:r>
      <w:r/>
    </w:p>
    <w:p>
      <w:r>
        <w:t xml:space="preserve">This thesis aims to examine how propaganda is used in social media during a state of war. In particular, I evaluate multimodal – text and image - Twitter data from Russian and Ukrainian governmen</w:t>
      </w:r>
      <w:r>
        <w:t xml:space="preserve">tal organizations and state-affiliated politicians concerning the 2022 Russian invasion into Ukraine and the ongoing Russo-Ukrainian War. This examination is done on multiple levels. First, the data is manually annotated according to the propaganda types f</w:t>
      </w:r>
      <w:r>
        <w:t xml:space="preserve">ound within the text or image. A manual analysis follows, examining what types of propaganda are most common, whether there are any differences on the Ukrainian – Russian or organization – individual level, and whether the content of the propaganda has cha</w:t>
      </w:r>
      <w:r>
        <w:t xml:space="preserve">nged over the course of time. Finally, several state-of-the-art textual, visual, and multimodal models are used to further evaluate which pieces of propaganda are easy to discern, and whether they are comparable to another multimodal type of media – memes.</w:t>
      </w:r>
      <w:r>
        <w:rPr>
          <w:highlight w:val="none"/>
        </w:rPr>
      </w:r>
      <w:r/>
    </w:p>
    <w:p>
      <w:pPr>
        <w:rPr>
          <w:highlight w:val="none"/>
        </w:rPr>
      </w:pPr>
      <w:r>
        <w:rPr>
          <w:highlight w:val="none"/>
        </w:rPr>
        <w:t xml:space="preserve">This paper is structured as follows. First, an introductory section,</w:t>
      </w:r>
      <w:r>
        <w:t xml:space="preserve"> </w:t>
      </w:r>
      <w:r>
        <w:t xml:space="preserve">detailing what propaganda is, as well as its relation to war, social media, and cognition, is given. It is followed by a section on the particular types of propaganda examined in this thesis, as well as background on computational propaganda, and a further</w:t>
      </w:r>
      <w:r>
        <w:t xml:space="preserve"> examination of what types of propaganda might be expected to be found in Russian and Ukrainian media. Next comes the methods section, detailing the data, how it was was collected, cleaned and annotated, as well as the manual and statistical analysis. This</w:t>
      </w:r>
      <w:r>
        <w:t xml:space="preserve"> is followed by experimental analysis with machine learning models. Finally, the results of the manual and computational analyses are examined and discussed. The paper is concluded with an overview of the work done here and considerations for further work.</w:t>
      </w:r>
      <w:r>
        <w:rPr>
          <w:bCs w:val="0"/>
          <w:i w:val="0"/>
          <w:highlight w:val="none"/>
        </w:rPr>
      </w:r>
      <w:r/>
    </w:p>
    <w:p>
      <w:pPr>
        <w:rPr>
          <w:bCs w:val="0"/>
          <w:i w:val="0"/>
          <w:highlight w:val="yellow"/>
        </w:rPr>
      </w:pPr>
      <w:r>
        <w:rPr>
          <w:highlight w:val="yellow"/>
        </w:rPr>
        <w:t xml:space="preserve">[particular research questions here or later? Hypotheses?]</w:t>
      </w:r>
      <w:r>
        <w:rPr>
          <w:highlight w:val="yellow"/>
        </w:rPr>
      </w:r>
      <w:r/>
    </w:p>
    <w:p>
      <w:pPr>
        <w:pStyle w:val="656"/>
      </w:pPr>
      <w:r>
        <w:t xml:space="preserve">What is propaganda and why is it important?</w:t>
      </w:r>
      <w:r/>
    </w:p>
    <w:p>
      <w:pPr>
        <w:rPr>
          <w:bCs w:val="0"/>
          <w:i w:val="0"/>
          <w:highlight w:val="none"/>
        </w:rPr>
      </w:pPr>
      <w:r>
        <w:rPr>
          <w:i/>
          <w:iCs/>
        </w:rPr>
        <w:t xml:space="preserve">Propaganda </w:t>
      </w:r>
      <w:r>
        <w:rPr>
          <w:i w:val="0"/>
          <w:iCs w:val="0"/>
        </w:rPr>
        <w:t xml:space="preserve">is a term with many interpretations. In general, it means to disseminate or promote particular ideas, and the word itself is often used in a negative sense</w:t>
      </w:r>
      <w:r>
        <w:rPr>
          <w:i w:val="0"/>
          <w:iCs w:val="0"/>
        </w:rPr>
        <w:t xml:space="preserve">. When we use </w:t>
      </w:r>
      <w:r>
        <w:rPr>
          <w:i/>
          <w:iCs/>
        </w:rPr>
        <w:t xml:space="preserve">propaganda</w:t>
      </w:r>
      <w:r>
        <w:rPr>
          <w:i w:val="0"/>
          <w:iCs w:val="0"/>
        </w:rPr>
        <w:t xml:space="preserve"> to denote purpose, it is regarded as a way of conveying an ideology to an audience, seeking to reinforce or modify its attitudes, behavior, or both. It is used by all kinds</w:t>
      </w:r>
      <w:r>
        <w:rPr>
          <w:i w:val="0"/>
          <w:iCs w:val="0"/>
        </w:rPr>
        <w:t xml:space="preserve"> of individuals and organizations – governmental and private, reactionary and revolutionary, left- and right-leaning, militaristic and pacifistic. It is a way of delivering a message that is easily understood and has a quick, strong impact on the audience </w:t>
      </w:r>
      <w:r>
        <w:fldChar w:fldCharType="begin"/>
        <w:instrText xml:space="preserve"> ADDIN ZOTERO_CITATION {"citationItems":[{"id":"CQ3IUT7Y","type":"book","title":"Propaganda &amp; Persuasion","publisher":"SAGE Publications","number-of-pages":"465","abstract":"Propaganda and Persuasion, Fifth Edition, has been significantly revised to reflect the growing use of global propaganda and the Internet. It is the only book of its kind to cover a comprehensive history of propaganda and offer insightful definitions and methods to analyze it. Building on the excellence of the four previous editions, authors Garth S. Jowett and Victoria O’Donnell provide a remarkable and logical understanding of persuasion and propaganda, including communication history, rhetorical background, cultural studies, and collective memory. The guidelines for analysis are thorough and adaptable for the study of all types of propaganda.","ISBN":"978-1-4129-7782-1","note":"Google-Books-ID: o8tXNRjSW60C","language":"en","author":[{"family":"Jowett","given":"Garth S."},{"family":"O'Donnell","given":"Victoria"}],"issued":{"date-parts":[[2011,4,12]]},"userID":10209564,"index":1}]} </w:instrText>
      </w:r>
      <w:r>
        <w:fldChar w:fldCharType="separate"/>
      </w:r>
      <w:r/>
      <w:r>
        <w:t xml:space="preserve">(Jowett &amp; O’Donnell, 2011)</w:t>
      </w:r>
      <w:r>
        <w:fldChar w:fldCharType="end"/>
      </w:r>
      <w:r>
        <w:rPr>
          <w:bCs w:val="0"/>
          <w:i w:val="0"/>
          <w:highlight w:val="none"/>
        </w:rPr>
        <w:t xml:space="preserve">.</w:t>
      </w:r>
      <w:r/>
    </w:p>
    <w:p>
      <w:pPr>
        <w:rPr>
          <w:bCs w:val="0"/>
          <w:i w:val="0"/>
          <w:highlight w:val="none"/>
        </w:rPr>
      </w:pPr>
      <w:r>
        <w:rPr>
          <w:bCs w:val="0"/>
          <w:i w:val="0"/>
        </w:rPr>
        <w:t xml:space="preserve">Propaganda has existed throughout all ages. Confucius, in his </w:t>
      </w:r>
      <w:r>
        <w:rPr>
          <w:bCs w:val="0"/>
          <w:i/>
          <w:iCs/>
        </w:rPr>
        <w:t xml:space="preserve">Analects, </w:t>
      </w:r>
      <w:r>
        <w:rPr>
          <w:bCs w:val="0"/>
          <w:i w:val="0"/>
          <w:iCs w:val="0"/>
        </w:rPr>
        <w:t xml:space="preserve">emphasizes “skillfulness in speech”, and warns against what might be perceived as propaganda in modern days: “You show approval of him because he seems sincere in what he says. But is he truly a gentleman, or does he simply put on a dignified appearance?”.</w:t>
      </w:r>
      <w:r>
        <w:rPr>
          <w:bCs w:val="0"/>
          <w:i w:val="0"/>
          <w:iCs w:val="0"/>
        </w:rPr>
        <w:t xml:space="preserve"> In ancient civilizations, institutional propaganda was often produced in the form of monuments for the rulers, such as the Pyramids in Ancient Egypt. Because war was a common activity, establishing the basis for war was partly done by exemplifying t</w:t>
      </w:r>
      <w:r>
        <w:rPr>
          <w:bCs w:val="0"/>
          <w:i w:val="0"/>
          <w:iCs w:val="0"/>
        </w:rPr>
        <w:t xml:space="preserve">he differences between the warring civilizations, and the unique culture, such as statues of the gods popular in the specific area, were used both to signify the strength of the state as well as a propaganda piece to further the “us versus them” narrative </w:t>
      </w:r>
      <w:r>
        <w:fldChar w:fldCharType="begin"/>
        <w:instrText xml:space="preserve"> ADDIN ZOTERO_CITATION {"citationItems":[{"id":"CQ3IUT7Y","type":"book","title":"Propaganda &amp; Persuasion","publisher":"SAGE Publications","number-of-pages":"465","abstract":"Propaganda and Persuasion, Fifth Edition, has been significantly revised to reflect the growing use of global propaganda and the Internet. It is the only book of its kind to cover a comprehensive history of propaganda and offer insightful definitions and methods to analyze it. Building on the excellence of the four previous editions, authors Garth S. Jowett and Victoria O’Donnell provide a remarkable and logical understanding of persuasion and propaganda, including communication history, rhetorical background, cultural studies, and collective memory. The guidelines for analysis are thorough and adaptable for the study of all types of propaganda.","ISBN":"978-1-4129-7782-1","note":"Google-Books-ID: o8tXNRjSW60C","language":"en","author":[{"family":"Jowett","given":"Garth S."},{"family":"O'Donnell","given":"Victoria"}],"issued":{"date-parts":[[2011,4,12]]},"userID":10209564,"index":1}]} </w:instrText>
      </w:r>
      <w:r>
        <w:fldChar w:fldCharType="separate"/>
      </w:r>
      <w:r/>
      <w:r>
        <w:t xml:space="preserve">(Jowett &amp; O’Donnell, 2011)</w:t>
      </w:r>
      <w:r>
        <w:fldChar w:fldCharType="end"/>
      </w:r>
      <w:r>
        <w:rPr>
          <w:bCs w:val="0"/>
          <w:i w:val="0"/>
          <w:iCs w:val="0"/>
        </w:rPr>
        <w:t xml:space="preserve">. </w:t>
      </w:r>
      <w:r>
        <w:rPr>
          <w:bCs w:val="0"/>
          <w:i w:val="0"/>
          <w:iCs w:val="0"/>
          <w:highlight w:val="none"/>
        </w:rPr>
        <w:t xml:space="preserve">In the 20th and 21st centuries, propaganda evolved, with governments around the world forming organizations tasked wi</w:t>
      </w:r>
      <w:r>
        <w:rPr>
          <w:bCs w:val="0"/>
          <w:i w:val="0"/>
          <w:iCs w:val="0"/>
          <w:highlight w:val="none"/>
        </w:rPr>
        <w:t xml:space="preserve">th producing their own, as well as discrediting enemy propaganda. This evolution came with a change in form as well: mass-produced posters, radio, films, television, and finally, social media, became the primary forms of communication, and thus propaganda.</w:t>
      </w:r>
      <w:r>
        <w:rPr>
          <w:bCs w:val="0"/>
          <w:i w:val="0"/>
          <w:highlight w:val="none"/>
        </w:rPr>
      </w:r>
      <w:r/>
    </w:p>
    <w:p>
      <w:pPr>
        <w:rPr>
          <w:bCs w:val="0"/>
          <w:i w:val="0"/>
          <w:highlight w:val="none"/>
        </w:rPr>
      </w:pPr>
      <w:r>
        <w:rPr>
          <w:bCs w:val="0"/>
          <w:i w:val="0"/>
          <w:highlight w:val="none"/>
        </w:rPr>
        <w:t xml:space="preserve">Propaganda is a powerful tool that is often used to deceive individuals or, in some form, shroud the truth. This</w:t>
      </w:r>
      <w:r>
        <w:rPr>
          <w:bCs w:val="0"/>
          <w:i w:val="0"/>
          <w:highlight w:val="none"/>
        </w:rPr>
        <w:t xml:space="preserve"> can range from relatively harmless actions, such as advertisements for products, to productions with huge consequences, such as media campaigns intent on justifying war. It is therefore imperative that we understand how propaganda works, which types of it</w:t>
      </w:r>
      <w:r>
        <w:rPr>
          <w:bCs w:val="0"/>
          <w:i w:val="0"/>
          <w:highlight w:val="none"/>
        </w:rPr>
        <w:t xml:space="preserve"> are used, which ones are useful, and what action can be taken to counteract it. It has been shown that when hate speech is exposed as such, it tends to lose its power (Denton, 2000, as cited in Bondarenko, 2020) – such is the case with propaganda as well.</w:t>
      </w:r>
      <w:r>
        <w:rPr>
          <w:bCs w:val="0"/>
          <w:i w:val="0"/>
          <w:highlight w:val="none"/>
        </w:rPr>
      </w:r>
      <w:r/>
    </w:p>
    <w:p>
      <w:pPr>
        <w:pStyle w:val="656"/>
        <w:rPr>
          <w:bCs w:val="0"/>
          <w:i w:val="0"/>
          <w:highlight w:val="none"/>
        </w:rPr>
      </w:pPr>
      <w:r>
        <w:rPr>
          <w:bCs w:val="0"/>
          <w:i w:val="0"/>
          <w:highlight w:val="none"/>
        </w:rPr>
        <w:t xml:space="preserve">Propaganda and War</w:t>
      </w:r>
      <w:r>
        <w:rPr>
          <w:bCs w:val="0"/>
          <w:i w:val="0"/>
          <w:highlight w:val="none"/>
        </w:rPr>
      </w:r>
      <w:r/>
    </w:p>
    <w:p>
      <w:pPr>
        <w:rPr>
          <w:b w:val="0"/>
          <w:bCs w:val="0"/>
          <w:highlight w:val="none"/>
        </w:rPr>
      </w:pPr>
      <w:r>
        <w:rPr>
          <w:b w:val="0"/>
          <w:bCs w:val="0"/>
          <w:highlight w:val="none"/>
        </w:rPr>
        <w:t xml:space="preserve">A state of war requires a shift in social dynamics. This takes on various forms: an increase in spending on the military, the introduction of conscription, food rationing, an increase in media censorship. All of these choices re</w:t>
      </w:r>
      <w:r>
        <w:rPr>
          <w:b w:val="0"/>
          <w:bCs w:val="0"/>
          <w:highlight w:val="none"/>
        </w:rPr>
        <w:t xml:space="preserve">quire a justification to the public – otherwise, support for the war may go down, which would require the state to withdraw. Propaganda is an effective way of establishing why these changes are required, and it has thus been used widely during modern wars.</w:t>
      </w:r>
      <w:r>
        <w:rPr>
          <w:b w:val="0"/>
          <w:bCs w:val="0"/>
          <w:highlight w:val="none"/>
        </w:rPr>
      </w:r>
      <w:r/>
    </w:p>
    <w:p>
      <w:pPr>
        <w:pStyle w:val="664"/>
        <w:rPr>
          <w:b w:val="0"/>
          <w:bCs w:val="0"/>
          <w:highlight w:val="none"/>
        </w:rPr>
      </w:pPr>
      <w:r>
        <w:rPr>
          <w:b w:val="0"/>
          <w:bCs w:val="0"/>
          <w:highlight w:val="none"/>
        </w:rPr>
        <w:t xml:space="preserve">Purpose of propaganda during war</w:t>
      </w:r>
      <w:r>
        <w:rPr>
          <w:b w:val="0"/>
          <w:bCs w:val="0"/>
          <w:highlight w:val="none"/>
        </w:rPr>
      </w:r>
      <w:r/>
    </w:p>
    <w:p>
      <w:pPr>
        <w:rPr>
          <w:b w:val="0"/>
          <w:bCs w:val="0"/>
          <w:highlight w:val="none"/>
        </w:rPr>
      </w:pPr>
      <w:r>
        <w:rPr>
          <w:b w:val="0"/>
          <w:bCs w:val="0"/>
          <w:highlight w:val="none"/>
        </w:rPr>
        <w:t xml:space="preserve">The actions taken by governments during wars are often detrimenta</w:t>
      </w:r>
      <w:r>
        <w:rPr>
          <w:b w:val="0"/>
          <w:bCs w:val="0"/>
          <w:highlight w:val="none"/>
        </w:rPr>
        <w:t xml:space="preserve">l to an individual, reducing both their rights and their quality of life. Because of this, an important purpose of propaganda during wartime is to convince people that the sacrifice of individualism for the purpose of a “greater good” is a worthy endeavor </w:t>
      </w:r>
      <w:r>
        <w:fldChar w:fldCharType="begin"/>
        <w:instrText xml:space="preserve"> ADDIN ZOTERO_CITATION {"citationItems":[{"id":"9XDVWU4V","type":"article-journal","title":"Defining propaganda: A psychoanalytic perspective","container-title":"Communication and the Public","page":"305–314","volume":"4","issue":"4","note":"Publisher: SAGE Publications Sage UK: London, England","shortTitle":"Defining propaganda","author":[{"family":"Laskin","given":"Alexander V."}],"issued":{"date-parts":[[2019]]},"userID":10209564,"index":3,"short-title":"Defining propaganda","title-short":"Defining propaganda"}]} </w:instrText>
      </w:r>
      <w:r>
        <w:fldChar w:fldCharType="separate"/>
      </w:r>
      <w:r>
        <w:t xml:space="preserve">(Laskin, 2019)</w:t>
      </w:r>
      <w:r>
        <w:fldChar w:fldCharType="end"/>
      </w:r>
      <w:r>
        <w:rPr>
          <w:b w:val="0"/>
          <w:bCs w:val="0"/>
          <w:highlight w:val="none"/>
        </w:rPr>
        <w:t xml:space="preserve">. Laskin states that J.F. Kennedy’s famous statement “ask not what your country can do for yo</w:t>
      </w:r>
      <w:r>
        <w:rPr>
          <w:b w:val="0"/>
          <w:bCs w:val="0"/>
          <w:highlight w:val="none"/>
        </w:rPr>
        <w:t xml:space="preserve">u, ask what you can do for your country” is “the quintessence of propaganda”. McCrann (2009) agrees, noting the common use of the word “we” in propaganda, which has two purposes: firstly, it establishes the individual as part of the group, and notes that p</w:t>
      </w:r>
      <w:r>
        <w:rPr>
          <w:b w:val="0"/>
          <w:bCs w:val="0"/>
          <w:highlight w:val="none"/>
        </w:rPr>
        <w:t xml:space="preserve">eople identifying with a group may do activities that help the group, even if they are detrimental to the individual, as well as validate the group’s behavior, while the group validates theirs, making the social identity of a person act as a “social glue” </w:t>
      </w:r>
      <w:r>
        <w:fldChar w:fldCharType="begin"/>
        <w:instrText xml:space="preserve"> ADDIN ZOTERO_CITATION {"citationItems":[{"id":"W2TC3LLB","type":"article-journal","title":"Social Identity as Social Glue: The Origins of Group Loyalty.","container-title":"Journal of Personality and Social Psychology","page":"585-598","volume":"86","issue":"4","URL":"http://doi.apa.org/getdoi.cfm?doi=10.1037/0022-3514.86.4.585","DOI":"10.1037/0022-3514.86.4.585","shortTitle":"Social Identity as Social Glue","journalAbbreviation":"Journal of Personality and Social Psychology","language":"en","author":[{"family":"Van Vugt","given":"Mark"},{"family":"Hart","given":"Claire M."}],"issued":{"date-parts":[[2004]]},"accessed":{"date-parts":[[2023,4,19]]},"userID":10209564,"index":4,"short-title":"Social Identity as Social Glue","title-short":"Social Identity as Social Glue"}]} </w:instrText>
      </w:r>
      <w:r>
        <w:fldChar w:fldCharType="separate"/>
      </w:r>
      <w:r>
        <w:t xml:space="preserve">(Van Vugt &amp; Hart, 2004)</w:t>
      </w:r>
      <w:r>
        <w:fldChar w:fldCharType="end"/>
      </w:r>
      <w:r>
        <w:rPr>
          <w:b w:val="0"/>
          <w:bCs w:val="0"/>
          <w:highlight w:val="none"/>
        </w:rPr>
        <w:t xml:space="preserve">; secondly, it implies an antagonistic group of “them”, using the social dynamics of in- and outgroups to, among other things, dampen empathetic feelings towards the enemy </w:t>
      </w:r>
      <w:r>
        <w:fldChar w:fldCharType="begin"/>
        <w:instrText xml:space="preserve"> ADDIN ZOTERO_CITATION {"citationItems":[{"id":"X4ZF4M5D","type":"article-journal","title":"Us and Them: Intergroup Failures of Empathy","container-title":"Current Directions in Psychological Science","page":"149-153","volume":"20","issue":"3","abstract":"People are often motivated to increase others' positive experiences and to alleviate others' suffering. These tendencies to care about and help one another form the foundation of human society. When the target is an outgroup member, however, people may have powerful motivations not to care about or help that ?other.? In such cases, empathic responses are rare and fragile; it is easy to disrupt the chain from perception of suffering to motivation to alleviate the suffering to actual helping. We highlight recent interdisciplinary research demonstrating that outgroup members' suffering elicits dampened empathic responses as compared to ingroup members' suffering. We consider an alternative to empathy in the context of intergroup competition: schadenfreude?pleasure at others' pain. Finally, we review recent investigations of intergroup-conflict interventions that attempt to increase empathy for outgroups. We propose that researchers across the range of psychological sciences stand to gain a better understanding of the foundations of empathy by studying its limitations.","URL":"https://doi.org/10.1177/0963721411408713","DOI":"10.1177/0963721411408713","note":"Publisher: SAGE Publications Inc","shortTitle":"Us and Them","journalAbbreviation":"Curr Dir Psychol Sci","language":"en","author":[{"family":"Cikara","given":"Mina"},{"family":"Bruneau","given":"Emile G."},{"family":"Saxe","given":"Rebecca R."}],"issued":{"date-parts":[[2011,6,1]]},"accessed":{"date-parts":[[2023,4,19]]},"userID":10209564,"index":5,"short-title":"Us and Them","title-short":"Us and Them"}]} </w:instrText>
      </w:r>
      <w:r>
        <w:fldChar w:fldCharType="separate"/>
      </w:r>
      <w:r/>
      <w:r>
        <w:t xml:space="preserve">(Cikara et al., 2011)</w:t>
      </w:r>
      <w:r>
        <w:fldChar w:fldCharType="end"/>
      </w:r>
      <w:r>
        <w:rPr>
          <w:b w:val="0"/>
          <w:bCs w:val="0"/>
          <w:highlight w:val="none"/>
        </w:rPr>
        <w:t xml:space="preserve">.</w:t>
      </w:r>
      <w:r>
        <w:rPr>
          <w:b w:val="0"/>
          <w:bCs w:val="0"/>
          <w:highlight w:val="none"/>
        </w:rPr>
      </w:r>
      <w:r/>
    </w:p>
    <w:p>
      <w:pPr>
        <w:pStyle w:val="664"/>
        <w:rPr>
          <w:b w:val="0"/>
          <w:bCs w:val="0"/>
          <w:highlight w:val="none"/>
        </w:rPr>
      </w:pPr>
      <w:r>
        <w:rPr>
          <w:b w:val="0"/>
          <w:bCs w:val="0"/>
          <w:highlight w:val="none"/>
        </w:rPr>
        <w:t xml:space="preserve">Forms of propaganda during war</w:t>
      </w:r>
      <w:r>
        <w:rPr>
          <w:b w:val="0"/>
          <w:bCs w:val="0"/>
          <w:highlight w:val="none"/>
        </w:rPr>
      </w:r>
      <w:r/>
    </w:p>
    <w:p>
      <w:pPr>
        <w:rPr>
          <w:b w:val="0"/>
          <w:bCs w:val="0"/>
          <w:highlight w:val="none"/>
        </w:rPr>
      </w:pPr>
      <w:r>
        <w:rPr>
          <w:b w:val="0"/>
          <w:bCs w:val="0"/>
          <w:highlight w:val="none"/>
        </w:rPr>
      </w:r>
      <w:r>
        <w:rPr>
          <w:b w:val="0"/>
          <w:bCs w:val="0"/>
          <w:highlight w:val="none"/>
        </w:rPr>
        <w:t xml:space="preserve">Another important factor to consider is the forms of propaganda used during war. In the two world wars, propaganda posters issued by governments were used for communicating public policy </w:t>
      </w:r>
      <w:r>
        <w:fldChar w:fldCharType="begin"/>
        <w:instrText xml:space="preserve"> ADDIN ZOTERO_CITATION {"citationItems":[{"id":"XSUF498H","type":"article-journal","title":"Government wartime propaganda posters: Communicators of public policy","container-title":"Behavioral &amp; Social Sciences Librarian","page":"53–73","volume":"28","issue":"1-2","note":"Publisher: Taylor &amp; Francis","shortTitle":"Government wartime propaganda posters","author":[{"family":"McCrann","given":"Grace-Ellen"}],"issued":{"date-parts":[[2009]]},"userID":10209564,"index":2,"short-title":"Government wartime propaganda posters","title-short":"Government wartime propaganda posters"}]} </w:instrText>
      </w:r>
      <w:r>
        <w:fldChar w:fldCharType="separate"/>
      </w:r>
      <w:r/>
      <w:r>
        <w:t xml:space="preserve">(McCrann, 2009)</w:t>
      </w:r>
      <w:r>
        <w:fldChar w:fldCharType="end"/>
      </w:r>
      <w:r>
        <w:rPr>
          <w:b w:val="0"/>
          <w:bCs w:val="0"/>
          <w:highlight w:val="none"/>
        </w:rPr>
        <w:t xml:space="preserve">. </w:t>
      </w:r>
      <w:r>
        <w:rPr>
          <w:b w:val="0"/>
          <w:bCs w:val="0"/>
          <w:highlight w:val="none"/>
        </w:rPr>
        <w:t xml:space="preserve">Posters are an useful form of communication, because they can deliver a multimodal </w:t>
      </w:r>
      <w:r>
        <w:rPr>
          <w:b w:val="0"/>
          <w:bCs w:val="0"/>
          <w:highlight w:val="none"/>
        </w:rPr>
        <w:t xml:space="preserve">message: both the image, and the (optional, but often used) accompanying text can have meanings that reinforce each other. Images allow for a communication based on shared history and culture, while text may be used for a more direct message or an implied </w:t>
      </w:r>
      <w:r>
        <w:rPr>
          <w:b w:val="0"/>
          <w:bCs w:val="0"/>
          <w:highlight w:val="none"/>
        </w:rPr>
        <w:t xml:space="preserve">course of action. McCrann notes how using an image of a strong man, wearing working clothes, with dirt on his hands, surrounded by a range of middle-class men sitting and listening to him, “reinforces the concept of a historical commitment to American valu</w:t>
      </w:r>
      <w:r>
        <w:rPr>
          <w:b w:val="0"/>
          <w:bCs w:val="0"/>
          <w:highlight w:val="none"/>
        </w:rPr>
        <w:t xml:space="preserve">es, character, and citizen governance”. The accompanying text, “Save Freedom of Speech – Buy War Bonds”, while not being directly related to the image, suggests to the reader a course of action for retaining this image of a free nation and becoming part of</w:t>
      </w:r>
      <w:r>
        <w:rPr>
          <w:b w:val="0"/>
          <w:bCs w:val="0"/>
          <w:highlight w:val="none"/>
        </w:rPr>
        <w:t xml:space="preserve"> it. As another example, McCrann (2009) notes how the Japanese government used the image of a cherry blossom, a well known historic symbol of the samurai, in combination with images of kamikazes, painting these fatal missions as noble, respectable efforts.</w:t>
      </w:r>
      <w:r/>
    </w:p>
    <w:p>
      <w:pPr>
        <w:rPr>
          <w:b w:val="0"/>
          <w:bCs w:val="0"/>
          <w:highlight w:val="none"/>
        </w:rPr>
      </w:pPr>
      <w:r>
        <w:rPr>
          <w:b w:val="0"/>
          <w:bCs w:val="0"/>
          <w:highlight w:val="none"/>
        </w:rPr>
        <w:t xml:space="preserve">In the last 20 years, the Internet, in particular social media, have become a popular source of information, and they have been exploited to deliver propaganda during wartime. The 2</w:t>
      </w:r>
      <w:r>
        <w:rPr>
          <w:b w:val="0"/>
          <w:bCs w:val="0"/>
          <w:highlight w:val="none"/>
        </w:rPr>
        <w:t xml:space="preserve">011 revolution in Egypt initially started as a protest event on the social networking website Facebook, and the Internet was widely used by protesters to exchange information, organize events, as well as deliver real-time updates on the ongoing revolution </w:t>
      </w:r>
      <w:r>
        <w:fldChar w:fldCharType="begin"/>
        <w:instrText xml:space="preserve"> ADDIN ZOTERO_CITATION {"citationItems":[{"id":"BSMZSJGQ","type":"article-journal","title":"Social media as a government propaganda tool in post-revolutionary Egypt","container-title":"First Monday","author":[{"family":"El-Khalili","given":"Sara"}],"issued":{"date-parts":[[2013]]},"userID":10209564,"index":6}]} </w:instrText>
      </w:r>
      <w:r>
        <w:fldChar w:fldCharType="separate"/>
      </w:r>
      <w:r>
        <w:t xml:space="preserve">(El-Khalili, 2013)</w:t>
      </w:r>
      <w:r>
        <w:fldChar w:fldCharType="end"/>
      </w:r>
      <w:r>
        <w:rPr>
          <w:b w:val="0"/>
          <w:bCs w:val="0"/>
          <w:highlight w:val="none"/>
        </w:rPr>
        <w:t xml:space="preserve">. Governmental organizations were not initially active online, but after seeing the power this new form of communication can have, moved quickly to</w:t>
      </w:r>
      <w:r>
        <w:rPr>
          <w:b w:val="0"/>
          <w:bCs w:val="0"/>
          <w:highlight w:val="none"/>
        </w:rPr>
        <w:t xml:space="preserve"> take over. Various state-affiliated groups, including the parliament, the army, as well as individual ministries created social media accounts, and started using them more often. In particular, the Supreme Council of the Armed Forces (SCAF) began using so</w:t>
      </w:r>
      <w:r>
        <w:rPr>
          <w:b w:val="0"/>
          <w:bCs w:val="0"/>
          <w:highlight w:val="none"/>
        </w:rPr>
        <w:t xml:space="preserve">cial media for communicating directly with the citizens. With the unique role SCAF played in the revolution, starting out in support of the revolutionaries, but later taking over power and becoming rulers, a change in their communication could be observed </w:t>
      </w:r>
      <w:r>
        <w:fldChar w:fldCharType="begin"/>
        <w:instrText xml:space="preserve"> ADDIN ZOTERO_CITATION {"citationItems":[{"id":"S63KK3AH","type":"post-weblog","title":"A year in review: The SCAF rules in 93 letters","container-title":"Egypt Independent","abstract":"In 2011, The Supreme Council of the Armed Forces (SCAF) sent the Egyptian people 93 letters via its official Facebook page. The first letter opened with the announcement that the SCAF will rule the country during the transitional period in the wake of the 25 January revolution. A careful reading of the SCAF’s 93 letters reveals a shift in its discourse, particularly in its understanding of its role vis-a-vis the revolution, its perception of national interest and its depiction of the revolutionaries.","URL":"https://www.egyptindependent.com/year-review-scaf-rules-93-letters/","shortTitle":"A year in review","language":"en-US","author":[{"family":"Naguib","given":"Rime"}],"issued":{"date-parts":[[2011,12,30]]},"accessed":{"date-parts":[[2023,4,19]]},"userID":10209564,"index":7,"short-title":"A year in review","title-short":"A year in review"}]} </w:instrText>
      </w:r>
      <w:r>
        <w:fldChar w:fldCharType="separate"/>
      </w:r>
      <w:r/>
      <w:r>
        <w:t xml:space="preserve">(Naguib, 2011)</w:t>
      </w:r>
      <w:r>
        <w:fldChar w:fldCharType="end"/>
      </w:r>
      <w:r>
        <w:rPr>
          <w:b w:val="0"/>
          <w:bCs w:val="0"/>
          <w:highlight w:val="none"/>
        </w:rPr>
        <w:t xml:space="preserve">, initially coming out with messages stating that the army would protect the revolutionaries and act merely as </w:t>
      </w:r>
      <w:r>
        <w:rPr>
          <w:b w:val="0"/>
          <w:bCs w:val="0"/>
          <w:highlight w:val="none"/>
        </w:rPr>
        <w:t xml:space="preserve">“guardians of the revolution”, shifting over time to acting as “bearers of stability” and promising to lead the country back to a normal life, and finally branding the revolutionaries as thugs and painting the revolutionary youth as enemies of the nation. </w:t>
      </w:r>
      <w:r>
        <w:rPr>
          <w:b w:val="0"/>
          <w:bCs w:val="0"/>
          <w:highlight w:val="none"/>
        </w:rPr>
      </w:r>
      <w:r/>
    </w:p>
    <w:p>
      <w:pPr>
        <w:pStyle w:val="656"/>
        <w:rPr>
          <w:bCs w:val="0"/>
          <w:i w:val="0"/>
          <w:highlight w:val="none"/>
        </w:rPr>
      </w:pPr>
      <w:r>
        <w:rPr>
          <w:bCs w:val="0"/>
          <w:i w:val="0"/>
          <w:highlight w:val="none"/>
        </w:rPr>
        <w:t xml:space="preserve">Propaganda and Social Media</w:t>
      </w:r>
      <w:r>
        <w:rPr>
          <w:bCs w:val="0"/>
          <w:i w:val="0"/>
          <w:highlight w:val="none"/>
        </w:rPr>
      </w:r>
      <w:r/>
    </w:p>
    <w:p>
      <w:pPr>
        <w:rPr>
          <w:highlight w:val="none"/>
        </w:rPr>
      </w:pPr>
      <w:r>
        <w:t xml:space="preserve">A</w:t>
      </w:r>
      <w:r>
        <w:t xml:space="preserve">s mentioned before, propaganda took on new forms with the advent of the Internet and social media. The Internet offers a unique environment for the spread of disinformation, unverified facts, and a mix between news and rumours, sometimes called “paranews” </w:t>
      </w:r>
      <w:r>
        <w:fldChar w:fldCharType="begin"/>
        <w:instrText xml:space="preserve"> ADDIN ZOTERO_CITATION {"citationItems":[{"id":"V7CJ8ISH","type":"article-magazine","title":"News You Can Abuse","container-title":"Wired","abstract":"TWA Flight 800 shot down by friendly fire.Bill Clinton's cocaine habit. The Net is doing more for paranoia and conspiracy than anything since J. Edgar Hoover's infamous FBI files. It's the golden age of \"secrets.\" But the truth will out. This is not political coverage as usual. Wired magazine and HotWired have joined forces to […]","URL":"https://www.wired.com/1997/01/netizen-6/","note":"Section: tags","language":"en-US","author":[{"family":"Dowe","given":"Tom"}],"accessed":{"date-parts":[[2023,4,19]]},"userID":"10209564","index":8,"issued":{"date-parts":[[1997]]}}]} </w:instrText>
      </w:r>
      <w:r>
        <w:fldChar w:fldCharType="separate"/>
      </w:r>
      <w:r>
        <w:t xml:space="preserve">(Dowe, 1997)</w:t>
      </w:r>
      <w:r>
        <w:fldChar w:fldCharType="end"/>
      </w:r>
      <w:r>
        <w:t xml:space="preserve">. It did not take long for political propaganda to make way to it. In fact, an entire ecosystem of propaganda exists solely within the Internet – media companies created to spread particular ideas, re</w:t>
      </w:r>
      <w:r>
        <w:t xml:space="preserve">al and fake accounts of individuals spreading these same ideas on social media, thus appearing more credible, as well as websites made for the sole purpose of divulging the political biases – both in content and control – the aforementioned companies have </w:t>
      </w:r>
      <w:r>
        <w:fldChar w:fldCharType="begin"/>
        <w:instrText xml:space="preserve"> ADDIN ZOTERO_CITATION {"citationItems":[{"id":"CQ3IUT7Y","type":"book","title":"Propaganda &amp; Persuasion","publisher":"SAGE Publications","number-of-pages":"465","abstract":"Propaganda and Persuasion, Fifth Edition, has been significantly revised to reflect the growing use of global propaganda and the Internet. It is the only book of its kind to cover a comprehensive history of propaganda and offer insightful definitions and methods to analyze it. Building on the excellence of the four previous editions, authors Garth S. Jowett and Victoria O’Donnell provide a remarkable and logical understanding of persuasion and propaganda, including communication history, rhetorical background, cultural studies, and collective memory. The guidelines for analysis are thorough and adaptable for the study of all types of propaganda.","ISBN":"978-1-4129-7782-1","note":"Google-Books-ID: o8tXNRjSW60C","language":"en","author":[{"family":"Jowett","given":"Garth S."},{"family":"O'Donnell","given":"Victoria"}],"issued":{"date-parts":[[2011,4,12]]},"userID":10209564,"index":1}]} </w:instrText>
      </w:r>
      <w:r>
        <w:fldChar w:fldCharType="separate"/>
      </w:r>
      <w:r>
        <w:t xml:space="preserve">(Jowett &amp; O’Donnell, 2011)</w:t>
      </w:r>
      <w:r>
        <w:fldChar w:fldCharType="end"/>
      </w:r>
      <w:r>
        <w:t xml:space="preserve">. While propaganda is strongest when it comes from a centralized, authoritat</w:t>
      </w:r>
      <w:r>
        <w:t xml:space="preserve">ive source, social media allows any individual the power to spread their message, as there is little to no upfront cost and no journalistic ethics to consider. New platforms for engagement emerge often, and many people use social media as a source of news </w:t>
      </w:r>
      <w:r>
        <w:fldChar w:fldCharType="begin"/>
        <w:instrText xml:space="preserve"> ADDIN ZOTERO_CITATION {"citationItems":[{"id":"7Z6WQWM7","type":"post-weblog","title":"News Consumption Across Social Media in 2021","container-title":"Pew Research Center's Journalism Project","abstract":"About half (48%) of U.S. adults say they get news from social media “often” or “sometimes,” a 5 percentage point decline compared with 2020. More than half of Twitter users get news on the site regularly.","URL":"https://www.pewresearch.org/journalism/2021/09/20/news-consumption-across-social-media-in-2021/","language":"en-US","author":[{"family":"Walker","given":"Mason"},{"family":"Matsa","given":"Katerina Eva"}],"issued":{"date-parts":[[2021,9,20]]},"accessed":{"date-parts":[[2023,4,19]]},"userID":"10209564","index":9}]} </w:instrText>
      </w:r>
      <w:r>
        <w:fldChar w:fldCharType="separate"/>
      </w:r>
      <w:r/>
      <w:r>
        <w:t xml:space="preserve">(Walker &amp; Matsa, 2021)</w:t>
      </w:r>
      <w:r>
        <w:fldChar w:fldCharType="end"/>
      </w:r>
      <w:r>
        <w:t xml:space="preserve">.</w:t>
      </w:r>
      <w:r>
        <w:rPr>
          <w:highlight w:val="none"/>
        </w:rPr>
      </w:r>
      <w:r/>
    </w:p>
    <w:p>
      <w:pPr>
        <w:rPr>
          <w:highlight w:val="none"/>
        </w:rPr>
      </w:pPr>
      <w:r>
        <w:rPr>
          <w:highlight w:val="none"/>
        </w:rPr>
        <w:t xml:space="preserve">Even though social media allows smaller organizations and individuals to spread the message, state-affiliated groups have been not</w:t>
      </w:r>
      <w:r>
        <w:rPr>
          <w:highlight w:val="none"/>
        </w:rPr>
        <w:t xml:space="preserve">ed to disseminate propaganda via the Internet as well. An extensive research into how Russia uses social media found that there are multiple points of attack: social media operations focusing on the near abroad, where a significant amount of the population</w:t>
      </w:r>
      <w:r>
        <w:rPr>
          <w:highlight w:val="none"/>
        </w:rPr>
        <w:t xml:space="preserve"> speaks Russian and there are historical and cultural ties; operations focusing on the far abroad, such as the 2016 U.S. election; as well as pro-Russian social media accounts that may not be directly affiliated with the state, but receive support from it </w:t>
      </w:r>
      <w:r>
        <w:fldChar w:fldCharType="begin"/>
        <w:instrText xml:space="preserve"> ADDIN ZOTERO_CITATION {"citationItems":[{"id":"94Q4YYPK","type":"book","title":"Russian social media influence: Understanding Russian propaganda in Eastern Europe","publisher":"Rand Corporation","shortTitle":"Russian social media influence","author":[{"family":"Helmus","given":"Todd C."},{"family":"Bodine-Baron","given":"Elizabeth"},{"family":"Radin","given":"Andrew"},{"family":"Magnuson","given":"Madeline"},{"family":"Mendelsohn","given":"Joshua"},{"family":"Marcellino","given":"William"},{"family":"Bega","given":"Andriy"},{"family":"Winkelman","given":"Zev"}],"issued":{"date-parts":[[2018]]},"userID":"10209564","index":10,"short-title":"Russian social media influence","title-short":"Russian social media influence"}]} </w:instrText>
      </w:r>
      <w:r>
        <w:fldChar w:fldCharType="separate"/>
      </w:r>
      <w:r>
        <w:t xml:space="preserve">(Helmus et al., 2018)</w:t>
      </w:r>
      <w:r>
        <w:fldChar w:fldCharType="end"/>
      </w:r>
      <w:r>
        <w:rPr>
          <w:highlight w:val="none"/>
        </w:rPr>
        <w:t xml:space="preserve">. The rese</w:t>
      </w:r>
      <w:r>
        <w:rPr>
          <w:highlight w:val="none"/>
        </w:rPr>
        <w:t xml:space="preserve">arch also separates their means into three different levels: “white” outlets, such as official governmental accounts and state-affiliated news websites, “gray” outlets, such as consipracy websites, radicalised political accounts and news aggregators, as we</w:t>
      </w:r>
      <w:r>
        <w:rPr>
          <w:highlight w:val="none"/>
        </w:rPr>
        <w:t xml:space="preserve">ll as “black” outlets, such as bot farms and fake accounts. These efforts have countable effects: people that engaged with Russia-based media tended to be more accepting of Russian narratives, such as the U.S. government’s fault in the Russo-Ukrainian war </w:t>
      </w:r>
      <w:r>
        <w:fldChar w:fldCharType="begin"/>
        <w:instrText xml:space="preserve"> ADDIN ZOTERO_CITATION {"citationItems":[{"id":"FMV4B3ZR","type":"article-journal","title":"Does Russian Propaganda Work?","container-title":"The Washington Quarterly","page":"79-98","volume":"39","issue":"2","URL":"https://doi.org/10.1080/0163660X.2016.1204398","DOI":"10.1080/0163660X.2016.1204398","note":"Publisher: Routledge\n_eprint: https://doi.org/10.1080/0163660X.2016.1204398","author":[{"family":"Gerber","given":"Theodore P."},{"family":"Zavisca","given":"Jane"}],"issued":{"date-parts":[[2016,4,2]]},"accessed":{"date-parts":[[2023,4,19]]},"userID":"10209564","index":11}]} </w:instrText>
      </w:r>
      <w:r>
        <w:fldChar w:fldCharType="separate"/>
      </w:r>
      <w:r/>
      <w:r>
        <w:t xml:space="preserve">(Gerber &amp; Zavisca, 2016)</w:t>
      </w:r>
      <w:r>
        <w:fldChar w:fldCharType="end"/>
      </w:r>
      <w:r>
        <w:rPr>
          <w:highlight w:val="none"/>
        </w:rPr>
        <w:t xml:space="preserve">.</w:t>
      </w:r>
      <w:r>
        <w:rPr>
          <w:highlight w:val="none"/>
        </w:rPr>
      </w:r>
      <w:r/>
    </w:p>
    <w:p>
      <w:pPr>
        <w:rPr>
          <w:highlight w:val="none"/>
        </w:rPr>
      </w:pPr>
      <w:r>
        <w:rPr>
          <w:highlight w:val="yellow"/>
        </w:rPr>
        <w:t xml:space="preserve">[chinese propaganda?]</w:t>
      </w:r>
      <w:r>
        <w:rPr>
          <w:highlight w:val="yellow"/>
        </w:rPr>
      </w:r>
      <w:r/>
    </w:p>
    <w:p>
      <w:pPr>
        <w:rPr>
          <w:highlight w:val="yellow"/>
        </w:rPr>
      </w:pPr>
      <w:r>
        <w:rPr>
          <w:b w:val="0"/>
          <w:bCs w:val="0"/>
          <w:highlight w:val="yellow"/>
        </w:rPr>
        <w:t xml:space="preserve">[targets of propaganda]</w:t>
      </w:r>
      <w:r>
        <w:rPr>
          <w:b w:val="0"/>
          <w:bCs w:val="0"/>
          <w:highlight w:val="yellow"/>
        </w:rPr>
      </w:r>
      <w:r/>
    </w:p>
    <w:p>
      <w:pPr>
        <w:pStyle w:val="656"/>
        <w:rPr>
          <w:highlight w:val="yellow"/>
        </w:rPr>
      </w:pPr>
      <w:r>
        <w:rPr>
          <w:highlight w:val="none"/>
        </w:rPr>
        <w:t xml:space="preserve">Propaganda and Cognition</w:t>
      </w:r>
      <w:r>
        <w:rPr>
          <w:highlight w:val="none"/>
        </w:rPr>
      </w:r>
      <w:r/>
    </w:p>
    <w:p>
      <w:pPr>
        <w:rPr>
          <w:highlight w:val="none"/>
        </w:rPr>
      </w:pPr>
      <w:r>
        <w:rPr>
          <w:highlight w:val="yellow"/>
        </w:rPr>
        <w:t xml:space="preserve">[propaganda and war return here]</w:t>
      </w:r>
      <w:r>
        <w:rPr>
          <w:highlight w:val="yellow"/>
        </w:rPr>
      </w:r>
      <w:r/>
    </w:p>
    <w:p>
      <w:pPr>
        <w:rPr>
          <w:highlight w:val="yellow"/>
        </w:rPr>
      </w:pPr>
      <w:r>
        <w:rPr>
          <w:highlight w:val="yellow"/>
        </w:rPr>
        <w:t xml:space="preserve">[lakoff here perhaps]</w:t>
      </w:r>
      <w:r>
        <w:rPr>
          <w:highlight w:val="yellow"/>
        </w:rPr>
      </w:r>
      <w:r/>
    </w:p>
    <w:p>
      <w:r>
        <w:t xml:space="preserve">Propaganda should be consi</w:t>
      </w:r>
      <w:r>
        <w:t xml:space="preserve">dered from the cognitive perspective as well. As there are a lot of different types of propaganda (discussed more thoroughly in section []), it would be useful to know the psychological reasons why some types work, and whether some work better than others.</w:t>
      </w:r>
      <w:r>
        <w:rPr>
          <w:bCs w:val="0"/>
          <w:i w:val="0"/>
          <w:highlight w:val="none"/>
        </w:rPr>
      </w:r>
      <w:r/>
    </w:p>
    <w:p>
      <w:pPr>
        <w:rPr>
          <w:bCs w:val="0"/>
          <w:i w:val="0"/>
          <w:highlight w:val="none"/>
        </w:rPr>
      </w:pPr>
      <w:r>
        <w:t xml:space="preserve">In her research on the cognitive underpinnings of propaganda, </w:t>
      </w:r>
      <w:r>
        <w:rPr>
          <w:highlight w:val="none"/>
        </w:rPr>
        <w:t xml:space="preserve">Bondarenko (2020) discerns fo</w:t>
      </w:r>
      <w:r>
        <w:rPr>
          <w:highlight w:val="none"/>
        </w:rPr>
        <w:t xml:space="preserve">ur different types of explicit propaganda and considers their uses. First, the purpose of converting an individual construal of the world to a collective one is reiterated, as mentioned in section [purpose of propaganda section]. However, differently than </w:t>
      </w:r>
      <w:r>
        <w:rPr>
          <w:highlight w:val="none"/>
        </w:rPr>
        <w:t xml:space="preserve">Laskin and McCrann, Bondarenko considers this involvment in a group an illusion, as the opinions and ideas of the group are not initially inherent in or natural for the individual targeted by this propaganda. The types of propaganda used for this task are </w:t>
      </w:r>
      <w:r>
        <w:rPr>
          <w:i/>
          <w:iCs/>
          <w:highlight w:val="none"/>
        </w:rPr>
        <w:t xml:space="preserve">reference to authority </w:t>
      </w:r>
      <w:r>
        <w:rPr>
          <w:i w:val="0"/>
          <w:iCs w:val="0"/>
          <w:highlight w:val="none"/>
        </w:rPr>
        <w:t xml:space="preserve">and </w:t>
      </w:r>
      <w:r>
        <w:rPr>
          <w:i/>
          <w:iCs/>
          <w:highlight w:val="none"/>
        </w:rPr>
        <w:t xml:space="preserve">support group</w:t>
      </w:r>
      <w:r>
        <w:rPr>
          <w:i w:val="0"/>
          <w:iCs w:val="0"/>
          <w:highlight w:val="none"/>
        </w:rPr>
        <w:t xml:space="preserve">. Second, Bondarenko underlines the use of emotion in propaganda. Emotions allow an instinctual or socially conditioned shift in mood for the targets of propaganda </w:t>
      </w:r>
      <w:r>
        <w:fldChar w:fldCharType="begin"/>
        <w:instrText xml:space="preserve"> ADDIN ZOTERO_CITATION {"citationItems":[{"id":"2AB7YG2S","type":"chapter","title":"Mood effects on cognition","container-title":"Handbook of cognition and emotion","publisher":"The Guilford Press","publisher-place":"New York, NY, US","page":"231-251","event-place":"New York, NY, US","abstract":"This chapter reviews recent research documenting the multiple roles that moods play in influencing both the content and the process of cognition. After a brief introduction reviewing early work and theories exploring the links between mood and cognition, the chapter is divided into two main parts. First, research documenting the way moods influence the content and valence of cognition is reviewed, focusing on mood congruence in cognition and behavior. The second part of the chapter presents evidence for the processing effects of moods, showing that mood states influence the qualify of information processing as well. The chapter concludes with a discussion of the theoretical and applied implications of this work, and future prospects for these lines of inquiry are considered. We define moods as \"relatively low-intensity, diffuse, subconscious, and enduring affective states that have no salient antecedent cause and therefore little cognitive content\" (Forgas, 2006, pp.' 6-7). Distinct emotions, in contrast, are more intense, conscious, and short-lived experiences (e.g., fear, anger, or disgust). Moods tend to have relatively more robust, reliable, and enduring cognitive consequences, and the research reported here largely focused on the effects of mild, nonspecific positive and negative moods on thinking and behavior, although more specific states such as anger have also been studied (e.g., Unkelbach, Forgas, 8c Denson, 2008). (PsycInfo Database Record (c) 2022 APA, all rights reserved)","ISBN":"978-1-4625-0999-7 978-1-4625-1001-6","author":[{"family":"Forgas","given":"Joseph P."},{"family":"Koch","given":"Alex S."}],"issued":{"date-parts":[[2013]]},"userID":"10209564","index":12}]} </w:instrText>
      </w:r>
      <w:r>
        <w:fldChar w:fldCharType="separate"/>
      </w:r>
      <w:r>
        <w:t xml:space="preserve">(Forgas &amp; Koch, 2013)</w:t>
      </w:r>
      <w:r>
        <w:fldChar w:fldCharType="end"/>
      </w:r>
      <w:r>
        <w:rPr>
          <w:i w:val="0"/>
          <w:iCs w:val="0"/>
          <w:highlight w:val="none"/>
        </w:rPr>
        <w:t xml:space="preserve">. In political propaganda, negative emotions, such as fear, anger, or sense of guilt are most common, as they can easily be connected to an enemy; however, emotions such as compassion are sometimes appealed to as well</w:t>
      </w:r>
      <w:r>
        <w:rPr>
          <w:i w:val="0"/>
          <w:iCs w:val="0"/>
          <w:highlight w:val="none"/>
        </w:rPr>
        <w:t xml:space="preserve">. The emotional is used over the rational, as it allows for a conceptual entrenchment in memory, and thus, an effect that lasts longer </w:t>
      </w:r>
      <w:r>
        <w:fldChar w:fldCharType="begin"/>
        <w:instrText xml:space="preserve"> ADDIN ZOTERO_CITATION {"citationItems":[{"id":"DQHXDZSS","type":"article-journal","title":"Tools of Explicit Propaganda: Cognitive Underpinnings","container-title":"Open Journal of Modern Linguistics","page":"23-48","volume":"10","issue":"01","abstract":"The article aims to account for the impact of explicit political propaganda by way of divulging the cognitive mechanisms of its main tools. This is a case study of 600 fake news narratives about the political and military crisis in and around Ukraine in 2015-2018 enlisted and analyzed as such on the website EU versus Disinfo. In the analysis, I depart from the basic principles of cognitive linguistics and consider the tools of explicit propaganda divided accordingly. The rationale of the first and the second groups of tools is a balance of the logical (like joint attention) and the emotional in human perception. The third group of tools explores the pivotal role of language (in particular, its lexical units and conceptual structures as their underpinning) in construing the world. Considering the third group of tools, I also pinpoint various semiotic codes (verbal and visual) in their combination as a factor that has a great potential for influencing human cognition.","URL":"https://www.scirp.org/journal/doi.aspx?doi=10.4236/ojml.2020.101003","DOI":"10.4236/ojml.2020.101003","shortTitle":"Tools of Explicit Propaganda","journalAbbreviation":"OJML","language":"en","author":[{"family":"Bondarenko","given":"Ievgeniia"}],"issued":{"date-parts":[[2020]]},"accessed":{"date-parts":[[2022,11,4]]},"userID":"10209564","index":13,"short-title":"Tools of Explicit Propaganda","title-short":"Tools of Explicit Propaganda"}]} </w:instrText>
      </w:r>
      <w:r>
        <w:fldChar w:fldCharType="separate"/>
      </w:r>
      <w:r/>
      <w:r>
        <w:t xml:space="preserve">(Bondarenko, 2020)</w:t>
      </w:r>
      <w:r>
        <w:fldChar w:fldCharType="end"/>
      </w:r>
      <w:r>
        <w:rPr>
          <w:i w:val="0"/>
          <w:iCs w:val="0"/>
          <w:highlight w:val="none"/>
        </w:rPr>
        <w:t xml:space="preserve">.</w:t>
      </w:r>
      <w:r>
        <w:rPr>
          <w:bCs w:val="0"/>
          <w:i w:val="0"/>
          <w:highlight w:val="none"/>
        </w:rPr>
      </w:r>
      <w:r/>
    </w:p>
    <w:p>
      <w:pPr>
        <w:rPr>
          <w:bCs w:val="0"/>
          <w:i w:val="0"/>
          <w:highlight w:val="none"/>
        </w:rPr>
      </w:pPr>
      <w:r>
        <w:rPr>
          <w:i w:val="0"/>
          <w:iCs w:val="0"/>
          <w:highlight w:val="none"/>
        </w:rPr>
        <w:t xml:space="preserve">Third, reality is distorted by means of transforming or substituting some aspects presented in the propaganda piece. Here Bondarenko refers to joint attention and how methods such as </w:t>
      </w:r>
      <w:r>
        <w:rPr>
          <w:i/>
          <w:iCs/>
          <w:highlight w:val="none"/>
        </w:rPr>
        <w:t xml:space="preserve">false analogies, re-scaling </w:t>
      </w:r>
      <w:r>
        <w:rPr>
          <w:i w:val="0"/>
          <w:iCs w:val="0"/>
          <w:highlight w:val="none"/>
        </w:rPr>
        <w:t xml:space="preserve">and </w:t>
      </w:r>
      <w:r>
        <w:rPr>
          <w:i/>
          <w:iCs/>
          <w:highlight w:val="none"/>
        </w:rPr>
        <w:t xml:space="preserve">local absence of alternative </w:t>
      </w:r>
      <w:r>
        <w:rPr>
          <w:i w:val="0"/>
          <w:iCs w:val="0"/>
          <w:highlight w:val="none"/>
        </w:rPr>
        <w:t xml:space="preserve">are used to, in cognitive terms, substitute the anchor of joint attention </w:t>
      </w:r>
      <w:r>
        <w:fldChar w:fldCharType="begin"/>
        <w:instrText xml:space="preserve"> ADDIN ZOTERO_CITATION {"citationItems":[{"id":"WRDFMAAJ","type":"article-journal","title":"Joint attention as social cognition","container-title":"Joint attention: Its origins and role in development","page":"103–130","volume":"103130","author":[{"family":"Tomasello","given":"Michael"}],"issued":{"date-parts":[[1995]]},"userID":"10209564","index":14}]} </w:instrText>
      </w:r>
      <w:r>
        <w:fldChar w:fldCharType="separate"/>
      </w:r>
      <w:r/>
      <w:r>
        <w:t xml:space="preserve">(Tomasello, 1995)</w:t>
      </w:r>
      <w:r>
        <w:fldChar w:fldCharType="end"/>
      </w:r>
      <w:r>
        <w:rPr>
          <w:i w:val="0"/>
          <w:iCs w:val="0"/>
          <w:highlight w:val="none"/>
        </w:rPr>
        <w:t xml:space="preserve"> for an alternative, distorted one. This can be done in a number of ways: </w:t>
      </w:r>
      <w:r>
        <w:rPr>
          <w:i/>
          <w:iCs/>
          <w:highlight w:val="none"/>
        </w:rPr>
        <w:t xml:space="preserve">false analogies </w:t>
      </w:r>
      <w:r>
        <w:rPr>
          <w:i w:val="0"/>
          <w:iCs w:val="0"/>
          <w:highlight w:val="none"/>
        </w:rPr>
        <w:t xml:space="preserve">use some form of real relations as an anchor (such as a large number of Ukrainians knowing how to speak Russian) and replace that with a propagandistic anchor (a large number of people living in Ukraine </w:t>
      </w:r>
      <w:r>
        <w:rPr>
          <w:i/>
          <w:iCs/>
          <w:highlight w:val="none"/>
        </w:rPr>
        <w:t xml:space="preserve">are </w:t>
      </w:r>
      <w:r>
        <w:rPr>
          <w:i w:val="0"/>
          <w:iCs w:val="0"/>
          <w:highlight w:val="none"/>
        </w:rPr>
        <w:t xml:space="preserve">Russian). </w:t>
      </w:r>
      <w:r>
        <w:rPr>
          <w:i/>
          <w:iCs/>
          <w:highlight w:val="none"/>
        </w:rPr>
        <w:t xml:space="preserve">Re-scaling </w:t>
      </w:r>
      <w:r>
        <w:rPr>
          <w:i w:val="0"/>
          <w:iCs w:val="0"/>
          <w:highlight w:val="none"/>
        </w:rPr>
        <w:t xml:space="preserve">intensifies or diminishes the importance of a real anchor (such as the debt a country has accrued); </w:t>
      </w:r>
      <w:r>
        <w:rPr>
          <w:i/>
          <w:iCs/>
          <w:highlight w:val="none"/>
        </w:rPr>
        <w:t xml:space="preserve">local absence of alternative</w:t>
      </w:r>
      <w:r>
        <w:rPr>
          <w:i w:val="0"/>
          <w:iCs w:val="0"/>
          <w:highlight w:val="none"/>
        </w:rPr>
        <w:t xml:space="preserve"> supposes that a proposed idea is inherently correct since there are (locally) no realistic alternatives.</w:t>
      </w:r>
      <w:r>
        <w:rPr>
          <w:bCs w:val="0"/>
          <w:i w:val="0"/>
          <w:highlight w:val="none"/>
        </w:rPr>
      </w:r>
      <w:r/>
    </w:p>
    <w:p>
      <w:pPr>
        <w:rPr>
          <w:bCs w:val="0"/>
          <w:i w:val="0"/>
          <w:highlight w:val="none"/>
        </w:rPr>
      </w:pPr>
      <w:r>
        <w:rPr>
          <w:i w:val="0"/>
          <w:iCs w:val="0"/>
          <w:highlight w:val="none"/>
        </w:rPr>
        <w:t xml:space="preserve">Finally, Bondarenko (2008) considers words-triggers: words, phrases or statements that trigger a picture or concept in the target’s minds. These can be culturally related concepts, like the cherry blossoms mentioned above, but they</w:t>
      </w:r>
      <w:r>
        <w:rPr>
          <w:i w:val="0"/>
          <w:iCs w:val="0"/>
          <w:highlight w:val="none"/>
        </w:rPr>
        <w:t xml:space="preserve"> can also be normal words that have become conceptually entwined with other words and concepts by the use of propaganda itself. As an example, Snake Island, a small Ukrainian island in the Black Sea, became a concept of resilience and hope for Ukraine afte</w:t>
      </w:r>
      <w:r>
        <w:rPr>
          <w:i w:val="0"/>
          <w:iCs w:val="0"/>
          <w:highlight w:val="none"/>
        </w:rPr>
        <w:t xml:space="preserve">r a piece of audio from the military personnel stationed there, recording a conversation in which the forces refused to surrender to an attacking Russian warship, was distributed in the media. An interesting case occurs when both sides in a military confli</w:t>
      </w:r>
      <w:r>
        <w:rPr>
          <w:i w:val="0"/>
          <w:iCs w:val="0"/>
          <w:highlight w:val="none"/>
        </w:rPr>
        <w:t xml:space="preserve">ct use the same word-trigger for differing concepts: for example, the phrase “special military operation”, used by Russian president Vladimir Putin to refer to the invasion of Ukraine in 2022, may trigger a sense of solidarity among Russian people, as it s</w:t>
      </w:r>
      <w:r>
        <w:rPr>
          <w:i w:val="0"/>
          <w:iCs w:val="0"/>
          <w:highlight w:val="none"/>
        </w:rPr>
        <w:t xml:space="preserve">tresses that the conflict is not a war or invasion, while the word “operation” implies a sense of professionalism. On the other hand, for Ukrainian people, it may be used as an example of the double-speak and propaganda that Russia employs towards the war.</w:t>
      </w:r>
      <w:r/>
    </w:p>
    <w:p>
      <w:pPr>
        <w:rPr>
          <w:highlight w:val="yellow"/>
        </w:rPr>
      </w:pPr>
      <w:r>
        <w:rPr>
          <w:i w:val="0"/>
          <w:iCs w:val="0"/>
          <w:highlight w:val="yellow"/>
        </w:rPr>
        <w:t xml:space="preserve">[peers book here maybe]</w:t>
      </w:r>
      <w:r>
        <w:rPr>
          <w:i w:val="0"/>
          <w:iCs w:val="0"/>
          <w:highlight w:val="yellow"/>
        </w:rPr>
      </w:r>
      <w:r/>
    </w:p>
    <w:p>
      <w:pPr>
        <w:pStyle w:val="650"/>
        <w:rPr>
          <w:highlight w:val="none"/>
        </w:rPr>
      </w:pPr>
      <w:r>
        <w:rPr>
          <w:highlight w:val="none"/>
        </w:rPr>
        <w:t xml:space="preserve">Methods</w:t>
      </w:r>
      <w:r>
        <w:rPr>
          <w:highlight w:val="none"/>
        </w:rPr>
      </w:r>
      <w:r/>
    </w:p>
    <w:p>
      <w:pPr>
        <w:pStyle w:val="656"/>
      </w:pPr>
      <w:r>
        <w:t xml:space="preserve">Propaganda techniques</w:t>
      </w:r>
      <w:r>
        <w:rPr>
          <w:highlight w:val="yellow"/>
        </w:rPr>
      </w:r>
      <w:r/>
    </w:p>
    <w:p>
      <w:pPr>
        <w:rPr>
          <w:highlight w:val="yellow"/>
        </w:rPr>
      </w:pPr>
      <w:r>
        <w:t xml:space="preserve">As </w:t>
      </w:r>
      <w:r>
        <w:t xml:space="preserve">propaganda does not have a consensus on its meaning, there are differing opinions on the number of techniques propagandists employ. The Institute for Propaganda Analysis (IPA), in a book published around the start of World War 2, proposed seven techniques </w:t>
      </w:r>
      <w:r>
        <w:fldChar w:fldCharType="begin"/>
        <w:instrText xml:space="preserve"> ADDIN ZOTERO_CITATION {"citationItems":[{"id":"GYWVFIAX","type":"article-journal","title":"The fine art of propaganda.","note":"Publisher: Harcourt, Brace","author":[{"family":"Lee","given":"Alfred"},{"family":"Lee","given":"Elizabeth Briant"}],"issued":{"date-parts":[[1939]]},"userID":"10209564","index":16}]} </w:instrText>
      </w:r>
      <w:r>
        <w:fldChar w:fldCharType="separate"/>
      </w:r>
      <w:r>
        <w:t xml:space="preserve">(Lee &amp; Lee, 1939)</w:t>
      </w:r>
      <w:r>
        <w:fldChar w:fldCharType="end"/>
      </w:r>
      <w:r>
        <w:t xml:space="preserve">; </w:t>
      </w:r>
      <w:r>
        <w:rPr>
          <w:highlight w:val="none"/>
        </w:rPr>
        <w:t xml:space="preserve">some other publications discern twenty argumentation fallacies </w:t>
      </w:r>
      <w:r>
        <w:fldChar w:fldCharType="begin"/>
        <w:instrText xml:space="preserve"> ADDIN ZOTERO_CITATION {"citationItems":[{"id":"QZHUABL7","type":"book","title":"A rulebook for arguments","publisher":"Hackett Publishing","author":[{"family":"Weston","given":"Anthony"}],"issued":{"date-parts":[[2018]]},"userID":"10209564","index":20}]} </w:instrText>
      </w:r>
      <w:r>
        <w:fldChar w:fldCharType="separate"/>
      </w:r>
      <w:r>
        <w:t xml:space="preserve">(Weston, 2018)</w:t>
      </w:r>
      <w:r>
        <w:fldChar w:fldCharType="end"/>
      </w:r>
      <w:r>
        <w:rPr>
          <w:highlight w:val="none"/>
        </w:rPr>
        <w:t xml:space="preserve"> or use eighteen </w:t>
      </w:r>
      <w:r>
        <w:fldChar w:fldCharType="begin"/>
        <w:instrText xml:space="preserve"> ADDIN ZOTERO_CITATION {"citationItems":[{"id":"JIMXKB7J","type":"article","title":"Fine-Grained Analysis of Propaganda in News Articles","publisher":"arXiv","abstract":"Propaganda aims at inﬂuencing people’s mindset with the purpose of advancing a speciﬁc agenda. Previous work has addressed propaganda detection at the document level, typically labelling all articles from a propagandistic news outlet as propaganda. Such noisy gold labels inevitably affect the quality of any learning system trained on them. A further issue with most existing systems is the lack of explainability. To overcome these limitations, we propose a novel task: performing ﬁne-grained analysis of texts by detecting all fragments that contain propaganda techniques as well as their type. In particular, we create a corpus of news articles manually annotated at the fragment level with eighteen propaganda techniques and we propose a suitable evaluation measure. We further design a novel multi-granularity neural network, and we show that it outperforms several strong BERT-based baselines.","URL":"http://arxiv.org/abs/1910.02517","note":"arXiv:1910.02517 [cs]","number":"arXiv:1910.02517","language":"en","author":[{"family":"Martino","given":"Giovanni Da San"},{"family":"Yu","given":"Seunghak"},{"family":"Barrón-Cedeño","given":"Alberto"},{"family":"Petrov","given":"Rostislav"},{"family":"Nakov","given":"Preslav"}],"issued":{"date-parts":[[2019,10,6]]},"accessed":{"date-parts":[[2023,3,1]]},"userID":"10209564","index":17}]} </w:instrText>
      </w:r>
      <w:r>
        <w:fldChar w:fldCharType="separate"/>
      </w:r>
      <w:r>
        <w:t xml:space="preserve">(Martino et al., 2019)</w:t>
      </w:r>
      <w:r>
        <w:fldChar w:fldCharType="end"/>
      </w:r>
      <w:r>
        <w:rPr>
          <w:highlight w:val="none"/>
        </w:rPr>
        <w:t xml:space="preserve">, seven </w:t>
      </w:r>
      <w:r>
        <w:fldChar w:fldCharType="begin"/>
        <w:instrText xml:space="preserve"> ADDIN ZOTERO_CITATION {"citationItems":[{"id":"N4N6BR78","type":"article-journal","title":"A content analysis of propaganda in Harakah newspaper","container-title":"Journal of Media and Information Warfare (JMIW)","page":"73–116","volume":"5","note":"Publisher: CMIWS and UiTM Press","author":[{"family":"Abd Kadir","given":"Shamsiah"},{"family":"Abu Hasan","given":"Ahmad Sauffiyan"}],"issued":{"date-parts":[[2014]]},"userID":"10209564","index":18}]} </w:instrText>
      </w:r>
      <w:r>
        <w:fldChar w:fldCharType="separate"/>
      </w:r>
      <w:r>
        <w:t xml:space="preserve">(Abd Kadir &amp; Abu Hasan, 2014)</w:t>
      </w:r>
      <w:r>
        <w:fldChar w:fldCharType="end"/>
      </w:r>
      <w:r>
        <w:rPr>
          <w:highlight w:val="none"/>
        </w:rPr>
        <w:t xml:space="preserve"> or twenty-two </w:t>
      </w:r>
      <w:r>
        <w:fldChar w:fldCharType="begin"/>
        <w:instrText xml:space="preserve"> ADDIN ZOTERO_CITATION {"citationItems":[{"id":"MH2GFKDU","type":"article","title":"Detecting Propaganda Techniques in Memes","publisher":"arXiv","abstract":"Propaganda can be deﬁned as a form of communication that aims to inﬂuence the opinions or the actions of people towards a speciﬁc goal; this is achieved by means of well-deﬁned rhetorical and psychological devices. Propaganda, in the form we know it today, can be dated back to the beginning of the 17th century. However, it is with the advent of the Internet and the social media that it has started to spread on a much larger scale than before, thus becoming major societal and political issue. Nowadays, a large fraction of propaganda in social media is multimodal, mixing textual with visual content. With this in mind, here we propose a new multi-label multimodal task: detecting the type of propaganda techniques used in memes. We further create and release a new corpus of 950 memes, carefully annotated with 22 propaganda techniques, which can appear in the text, in the image, or in both. Our analysis of the corpus shows that understanding both modalities together is essential for detecting these techniques. This is further conﬁrmed in our experiments with several state-of-the-art multimodal models.","URL":"http://arxiv.org/abs/2109.08013","note":"arXiv:2109.08013 [cs]","number":"arXiv:2109.08013","language":"en","author":[{"family":"Dimitrov","given":"Dimitar"},{"family":"Ali","given":"Bishr Bin"},{"family":"Shaar","given":"Shaden"},{"family":"Alam","given":"Firoj"},{"family":"Silvestri","given":"Fabrizio"},{"family":"Firooz","given":"Hamed"},{"family":"Nakov","given":"Preslav"},{"family":"Martino","given":"Giovanni Da San"}],"issued":{"date-parts":[[2021,8,7]]},"accessed":{"date-parts":[[2022,10,28]]},"userID":"10209564","index":19}]} </w:instrText>
      </w:r>
      <w:r>
        <w:fldChar w:fldCharType="separate"/>
      </w:r>
      <w:r/>
      <w:r>
        <w:t xml:space="preserve">(Dimitrov et al., 2021)</w:t>
      </w:r>
      <w:r>
        <w:fldChar w:fldCharType="end"/>
      </w:r>
      <w:r>
        <w:rPr>
          <w:highlight w:val="none"/>
        </w:rPr>
        <w:t xml:space="preserve"> propaganda techniques. More</w:t>
      </w:r>
      <w:r>
        <w:rPr>
          <w:highlight w:val="none"/>
        </w:rPr>
        <w:t xml:space="preserve">over, D</w:t>
      </w:r>
      <w:r>
        <w:rPr>
          <w:highlight w:val="none"/>
        </w:rPr>
        <w:t xml:space="preserve">imitrov et al. split these techniques: the first 20 were used both for image and text labeling, while the last 2 were only used for annotating images. However, a lot of these works build on each other, and thus the techniques in them have a lot of overlap.</w:t>
      </w:r>
      <w:r>
        <w:rPr>
          <w:highlight w:val="none"/>
        </w:rPr>
        <w:t xml:space="preserve"> </w:t>
      </w:r>
      <w:r>
        <w:rPr>
          <w:highlight w:val="yellow"/>
        </w:rPr>
        <w:t xml:space="preserve">[propaganda techniques or argumentation fallacies? expand]</w:t>
      </w:r>
      <w:r>
        <w:rPr>
          <w:highlight w:val="yellow"/>
        </w:rPr>
      </w:r>
    </w:p>
    <w:p>
      <w:r>
        <w:rPr>
          <w:highlight w:val="none"/>
        </w:rPr>
        <w:t xml:space="preserve">In this paper, I adapt the 20 techniques used for multimodal labeling in Dimitrov et al. (2021), as well as one more technique from the Institute for Propaganda Analysis. Furthermore, I add three more labels: </w:t>
      </w:r>
      <w:r>
        <w:rPr>
          <w:i/>
          <w:iCs/>
          <w:highlight w:val="none"/>
        </w:rPr>
        <w:t xml:space="preserve">text</w:t>
      </w:r>
      <w:r>
        <w:rPr>
          <w:highlight w:val="none"/>
        </w:rPr>
        <w:t xml:space="preserve">, </w:t>
      </w:r>
      <w:r>
        <w:rPr>
          <w:i/>
          <w:iCs/>
          <w:highlight w:val="none"/>
        </w:rPr>
        <w:t xml:space="preserve">portrait</w:t>
      </w:r>
      <w:r>
        <w:rPr>
          <w:highlight w:val="none"/>
        </w:rPr>
        <w:t xml:space="preserve">, </w:t>
      </w:r>
      <w:r>
        <w:rPr>
          <w:i w:val="0"/>
          <w:iCs w:val="0"/>
          <w:highlight w:val="none"/>
        </w:rPr>
        <w:t xml:space="preserve">and </w:t>
      </w:r>
      <w:r>
        <w:rPr>
          <w:i/>
          <w:iCs/>
          <w:highlight w:val="none"/>
        </w:rPr>
        <w:t xml:space="preserve">irrelevant</w:t>
      </w:r>
      <w:r>
        <w:rPr>
          <w:i w:val="0"/>
          <w:iCs w:val="0"/>
          <w:highlight w:val="none"/>
        </w:rPr>
        <w:t xml:space="preserve">, for a total of 24 labels. Below I provide the definitions of these labels, which are used as a guideline for annotation.</w:t>
      </w:r>
      <w:r>
        <w:rPr>
          <w:bCs w:val="0"/>
          <w:i w:val="0"/>
          <w:highlight w:val="none"/>
        </w:rPr>
      </w:r>
      <w:r/>
    </w:p>
    <w:p>
      <w:r>
        <w:rPr>
          <w:i w:val="0"/>
          <w:iCs w:val="0"/>
          <w:highlight w:val="yellow"/>
        </w:rPr>
        <w:t xml:space="preserve">[review the techniques for rewording, ask Peer]</w:t>
      </w:r>
      <w:r>
        <w:rPr>
          <w:bCs w:val="0"/>
          <w:i w:val="0"/>
          <w:highlight w:val="yellow"/>
        </w:rPr>
      </w:r>
      <w:r/>
    </w:p>
    <w:p>
      <w:pPr>
        <w:pStyle w:val="830"/>
        <w:numPr>
          <w:ilvl w:val="0"/>
          <w:numId w:val="8"/>
        </w:numPr>
        <w:ind w:left="0" w:firstLine="0"/>
      </w:pPr>
      <w:r>
        <w:rPr>
          <w:b/>
          <w:bCs/>
          <w:i w:val="0"/>
          <w:iCs w:val="0"/>
          <w:highlight w:val="none"/>
        </w:rPr>
        <w:t xml:space="preserve">Irrelevant</w:t>
      </w:r>
      <w:r>
        <w:rPr>
          <w:i w:val="0"/>
          <w:iCs w:val="0"/>
          <w:highlight w:val="none"/>
        </w:rPr>
        <w:t xml:space="preserve">: a data point which is not related to the Russo-Ukrainian War. This could be, for example, a foreign minister writing about their trip to Mali.</w:t>
      </w:r>
      <w:r>
        <w:rPr>
          <w:bCs w:val="0"/>
          <w:i w:val="0"/>
          <w:highlight w:val="none"/>
        </w:rPr>
      </w:r>
      <w:r/>
    </w:p>
    <w:p>
      <w:pPr>
        <w:pStyle w:val="830"/>
        <w:numPr>
          <w:ilvl w:val="0"/>
          <w:numId w:val="8"/>
        </w:numPr>
        <w:ind w:left="0" w:firstLine="0"/>
      </w:pPr>
      <w:r>
        <w:rPr>
          <w:b/>
          <w:bCs/>
          <w:i w:val="0"/>
          <w:iCs w:val="0"/>
          <w:highlight w:val="none"/>
        </w:rPr>
        <w:t xml:space="preserve">Text</w:t>
      </w:r>
      <w:r>
        <w:rPr>
          <w:i w:val="0"/>
          <w:iCs w:val="0"/>
          <w:highlight w:val="none"/>
        </w:rPr>
        <w:t xml:space="preserve">: a data point where the image consists primarily of text. This is a popular way of communication on social media, especially Twitter. Note that if the text in the image and the text of the tweet are similar, it may be treated as a </w:t>
      </w:r>
      <w:r>
        <w:rPr>
          <w:b/>
          <w:bCs/>
          <w:i w:val="0"/>
          <w:iCs w:val="0"/>
          <w:highlight w:val="none"/>
        </w:rPr>
        <w:t xml:space="preserve">Repetition</w:t>
      </w:r>
      <w:r>
        <w:rPr>
          <w:b w:val="0"/>
          <w:bCs w:val="0"/>
          <w:i w:val="0"/>
          <w:iCs w:val="0"/>
          <w:highlight w:val="none"/>
        </w:rPr>
        <w:t xml:space="preserve">.</w:t>
      </w:r>
      <w:r>
        <w:rPr>
          <w:bCs w:val="0"/>
          <w:i w:val="0"/>
          <w:highlight w:val="none"/>
        </w:rPr>
      </w:r>
      <w:r/>
    </w:p>
    <w:p>
      <w:pPr>
        <w:pStyle w:val="830"/>
        <w:numPr>
          <w:ilvl w:val="0"/>
          <w:numId w:val="8"/>
        </w:numPr>
        <w:ind w:left="0" w:firstLine="0"/>
      </w:pPr>
      <w:r>
        <w:rPr>
          <w:b/>
          <w:bCs/>
          <w:i w:val="0"/>
          <w:iCs w:val="0"/>
          <w:highlight w:val="none"/>
        </w:rPr>
        <w:t xml:space="preserve">Portrait</w:t>
      </w:r>
      <w:r>
        <w:rPr>
          <w:b w:val="0"/>
          <w:bCs w:val="0"/>
          <w:i w:val="0"/>
          <w:iCs w:val="0"/>
          <w:highlight w:val="none"/>
        </w:rPr>
        <w:t xml:space="preserve">: a data point where the image consists of a picture of a person. On Twitter, this is usually done when the person in the picture is cited in the text of the tweet. This can be closely related to </w:t>
      </w:r>
      <w:r>
        <w:rPr>
          <w:b/>
          <w:bCs/>
          <w:i w:val="0"/>
          <w:iCs w:val="0"/>
          <w:highlight w:val="none"/>
        </w:rPr>
        <w:t xml:space="preserve">Appeal to authority</w:t>
      </w:r>
      <w:r>
        <w:rPr>
          <w:b w:val="0"/>
          <w:bCs w:val="0"/>
          <w:i w:val="0"/>
          <w:iCs w:val="0"/>
          <w:highlight w:val="none"/>
        </w:rPr>
        <w:t xml:space="preserve">.</w:t>
      </w:r>
      <w:r>
        <w:rPr>
          <w:bCs w:val="0"/>
          <w:i w:val="0"/>
          <w:highlight w:val="none"/>
        </w:rPr>
      </w:r>
      <w:r/>
    </w:p>
    <w:p>
      <w:pPr>
        <w:pStyle w:val="830"/>
        <w:numPr>
          <w:ilvl w:val="0"/>
          <w:numId w:val="8"/>
        </w:numPr>
        <w:ind w:left="0" w:firstLine="0"/>
      </w:pPr>
      <w:r>
        <w:rPr>
          <w:b/>
          <w:bCs/>
          <w:i w:val="0"/>
          <w:iCs w:val="0"/>
          <w:highlight w:val="none"/>
        </w:rPr>
        <w:t xml:space="preserve"> Presenting irrelevant data (Red Herring): </w:t>
      </w:r>
      <w:r>
        <w:t xml:space="preserve">Introducing irrelevant material to the issue being discussed, so that everyone’s attention is diverted away from the points made.</w:t>
      </w:r>
      <w:r>
        <w:rPr>
          <w:b/>
          <w:bCs/>
          <w:i w:val="0"/>
          <w:highlight w:val="none"/>
        </w:rPr>
      </w:r>
      <w:r/>
    </w:p>
    <w:p>
      <w:pPr>
        <w:pStyle w:val="830"/>
        <w:numPr>
          <w:ilvl w:val="0"/>
          <w:numId w:val="8"/>
        </w:numPr>
        <w:ind w:left="0" w:firstLine="0"/>
      </w:pPr>
      <w:r>
        <w:rPr>
          <w:b/>
          <w:bCs/>
        </w:rPr>
        <w:t xml:space="preserve"> Misrepresentation of someone’s position (Straw Man): </w:t>
      </w:r>
      <w:r>
        <w:t xml:space="preserve">When an opponent’s proposition is substituted with a similar one, which is then refuted in place of the original proposition.</w:t>
      </w:r>
      <w:r/>
      <w:r/>
    </w:p>
    <w:p>
      <w:pPr>
        <w:pStyle w:val="830"/>
        <w:numPr>
          <w:ilvl w:val="0"/>
          <w:numId w:val="8"/>
        </w:numPr>
        <w:ind w:left="0" w:firstLine="0"/>
      </w:pPr>
      <w:r>
        <w:rPr>
          <w:b w:val="0"/>
          <w:bCs w:val="0"/>
        </w:rPr>
        <w:t xml:space="preserve"> </w:t>
      </w:r>
      <w:r>
        <w:rPr>
          <w:b/>
          <w:bCs/>
        </w:rPr>
        <w:t xml:space="preserve">Whataboutism: </w:t>
      </w:r>
      <w:r>
        <w:t xml:space="preserve">A technique that attempts to discredit an opponent’s position by charging them with hypocrisy without directly disproving their argument.</w:t>
      </w:r>
      <w:r/>
      <w:r/>
    </w:p>
    <w:p>
      <w:pPr>
        <w:pStyle w:val="830"/>
        <w:numPr>
          <w:ilvl w:val="0"/>
          <w:numId w:val="8"/>
        </w:numPr>
        <w:ind w:left="0" w:firstLine="0"/>
      </w:pPr>
      <w:r>
        <w:rPr>
          <w:b/>
          <w:bCs/>
        </w:rPr>
        <w:t xml:space="preserve">Causal oversimplification: </w:t>
      </w:r>
      <w:r>
        <w:t xml:space="preserve">Assuming a single cause or reason when there are actually multiple causes for an issue. It includes transferring blame to one person or group of people without investigating the complexities of the issue.</w:t>
      </w:r>
      <w:r/>
      <w:r/>
    </w:p>
    <w:p>
      <w:pPr>
        <w:pStyle w:val="830"/>
        <w:numPr>
          <w:ilvl w:val="0"/>
          <w:numId w:val="8"/>
        </w:numPr>
        <w:ind w:left="0" w:firstLine="0"/>
      </w:pPr>
      <w:r>
        <w:rPr>
          <w:b/>
          <w:bCs/>
        </w:rPr>
        <w:t xml:space="preserve">Obfuscation, Intentional vagueness, Confusion: </w:t>
      </w:r>
      <w:r>
        <w:t xml:space="preserve">Using words which are deliberately not clear so that the audience may have their own interpretations. For example, when an unclear phrase with multiple definitions is used within the argument and, therefore, it does not support the conclusion.</w:t>
      </w:r>
      <w:r/>
      <w:r/>
    </w:p>
    <w:p>
      <w:pPr>
        <w:pStyle w:val="830"/>
        <w:numPr>
          <w:ilvl w:val="0"/>
          <w:numId w:val="8"/>
        </w:numPr>
        <w:ind w:left="0" w:firstLine="0"/>
      </w:pPr>
      <w:r>
        <w:rPr>
          <w:b/>
          <w:bCs/>
        </w:rPr>
        <w:t xml:space="preserve">Appeal to authority: </w:t>
      </w:r>
      <w:r>
        <w:t xml:space="preserve">Stating that a claim is true simply because a valid authority or expert on the issue said it was true, without any other supporting evidence offered. I consider the special case in which the reference is not an authority or an expert in this technique.</w:t>
      </w:r>
      <w:r/>
      <w:r/>
    </w:p>
    <w:p>
      <w:pPr>
        <w:pStyle w:val="830"/>
        <w:numPr>
          <w:ilvl w:val="0"/>
          <w:numId w:val="8"/>
        </w:numPr>
        <w:ind w:left="0" w:firstLine="0"/>
      </w:pPr>
      <w:r>
        <w:rPr>
          <w:b/>
          <w:bCs/>
        </w:rPr>
        <w:t xml:space="preserve">Black-and-white Fallacy: </w:t>
      </w:r>
      <w:r>
        <w:t xml:space="preserve">P</w:t>
      </w:r>
      <w:r>
        <w:t xml:space="preserve">resenting two alternative options as the only possibilities, when in fact more possibilities exist. We include dictatorship, which happens when we leave only one possible option, i.e., when we tell the audience exactly what actions to take, eliminating any</w:t>
      </w:r>
      <w:r>
        <w:t xml:space="preserve"> other possible choices.</w:t>
      </w:r>
      <w:r/>
      <w:r/>
    </w:p>
    <w:p>
      <w:pPr>
        <w:pStyle w:val="830"/>
        <w:numPr>
          <w:ilvl w:val="0"/>
          <w:numId w:val="8"/>
        </w:numPr>
        <w:ind w:left="0" w:firstLine="0"/>
      </w:pPr>
      <w:r>
        <w:rPr>
          <w:b/>
          <w:bCs/>
        </w:rPr>
        <w:t xml:space="preserve">Name Calling or Labeling: </w:t>
      </w:r>
      <w:r>
        <w:t xml:space="preserve">Labeling the object of the propaganda campaign as either something the target audience fears, hates, finds undesirable or loves, praises.</w:t>
      </w:r>
      <w:r/>
      <w:r/>
    </w:p>
    <w:p>
      <w:pPr>
        <w:pStyle w:val="830"/>
        <w:numPr>
          <w:ilvl w:val="0"/>
          <w:numId w:val="8"/>
        </w:numPr>
        <w:ind w:left="0" w:firstLine="0"/>
      </w:pPr>
      <w:r>
        <w:rPr>
          <w:b/>
          <w:bCs/>
        </w:rPr>
        <w:t xml:space="preserve">Loaded Language: </w:t>
      </w:r>
      <w:r>
        <w:t xml:space="preserve">Using specific words and phrases with strong emotional implications (either positive or negative) to influence an audience.</w:t>
      </w:r>
      <w:r/>
      <w:r/>
    </w:p>
    <w:p>
      <w:pPr>
        <w:pStyle w:val="830"/>
        <w:numPr>
          <w:ilvl w:val="0"/>
          <w:numId w:val="8"/>
        </w:numPr>
        <w:ind w:left="0" w:firstLine="0"/>
      </w:pPr>
      <w:r>
        <w:rPr>
          <w:b/>
          <w:bCs/>
        </w:rPr>
        <w:t xml:space="preserve">Exaggeration or Minimisation: </w:t>
      </w:r>
      <w:r>
        <w:t xml:space="preserve">Either representing something in an excessive manner: making things larger, better, worse (e.g., the best of the best, quality guaranteed) or making something seem less important or smaller than it really is (e.g., saying that an insult was just a joke).</w:t>
      </w:r>
      <w:r/>
      <w:r/>
    </w:p>
    <w:p>
      <w:pPr>
        <w:pStyle w:val="830"/>
        <w:numPr>
          <w:ilvl w:val="0"/>
          <w:numId w:val="8"/>
        </w:numPr>
        <w:ind w:left="0" w:firstLine="0"/>
      </w:pPr>
      <w:r>
        <w:rPr>
          <w:b/>
          <w:bCs/>
        </w:rPr>
        <w:t xml:space="preserve">Flag-waving: </w:t>
      </w:r>
      <w:r>
        <w:t xml:space="preserve">Playing on strong national feeling (or to any group, e.g., race, gender, political preference) to justify or promote an action or idea.</w:t>
      </w:r>
      <w:r/>
      <w:r/>
    </w:p>
    <w:p>
      <w:pPr>
        <w:pStyle w:val="830"/>
        <w:numPr>
          <w:ilvl w:val="0"/>
          <w:numId w:val="8"/>
        </w:numPr>
        <w:ind w:left="0" w:firstLine="0"/>
      </w:pPr>
      <w:r>
        <w:rPr>
          <w:b/>
          <w:bCs/>
        </w:rPr>
        <w:t xml:space="preserve">Doubt: </w:t>
      </w:r>
      <w:r>
        <w:t xml:space="preserve">Questioning the credibility of someone or something.</w:t>
      </w:r>
      <w:r/>
      <w:r/>
    </w:p>
    <w:p>
      <w:pPr>
        <w:pStyle w:val="830"/>
        <w:numPr>
          <w:ilvl w:val="0"/>
          <w:numId w:val="8"/>
        </w:numPr>
        <w:ind w:left="0" w:firstLine="0"/>
      </w:pPr>
      <w:r>
        <w:rPr>
          <w:b/>
          <w:bCs/>
        </w:rPr>
        <w:t xml:space="preserve">Appeal to fear/prejudice: </w:t>
      </w:r>
      <w:r>
        <w:t xml:space="preserve">Seeking to build support for an idea by instilling anxiety and/or panic in the population towards an alternative. In some cases the support is built based on preconceived judgments.</w:t>
      </w:r>
      <w:r/>
      <w:r/>
    </w:p>
    <w:p>
      <w:pPr>
        <w:pStyle w:val="830"/>
        <w:numPr>
          <w:ilvl w:val="0"/>
          <w:numId w:val="8"/>
        </w:numPr>
        <w:ind w:left="0" w:firstLine="0"/>
      </w:pPr>
      <w:r>
        <w:rPr>
          <w:b/>
          <w:bCs/>
        </w:rPr>
        <w:t xml:space="preserve">Slogans: </w:t>
      </w:r>
      <w:r>
        <w:t xml:space="preserve">A brief and striking phrase that may include labeling and stereotyping. Slogans tend to act as emotional appeals.</w:t>
      </w:r>
      <w:r/>
      <w:r/>
    </w:p>
    <w:p>
      <w:pPr>
        <w:pStyle w:val="830"/>
        <w:numPr>
          <w:ilvl w:val="0"/>
          <w:numId w:val="8"/>
        </w:numPr>
        <w:ind w:left="0" w:firstLine="0"/>
      </w:pPr>
      <w:r>
        <w:rPr>
          <w:b/>
          <w:bCs/>
        </w:rPr>
        <w:t xml:space="preserve">Thought-terminating cliche: </w:t>
      </w:r>
      <w:r>
        <w:t xml:space="preserve">W</w:t>
      </w:r>
      <w:r>
        <w:t xml:space="preserve">ords or phrases that discourage critical thought and meaningful discussion about a given topic. They are typically short, generic sentences that offer seemingly simple answers to complex questions or that distract attention away from other lines of thought</w:t>
      </w:r>
      <w:r>
        <w:t xml:space="preserve">.</w:t>
      </w:r>
      <w:r/>
      <w:r/>
    </w:p>
    <w:p>
      <w:pPr>
        <w:pStyle w:val="830"/>
        <w:numPr>
          <w:ilvl w:val="0"/>
          <w:numId w:val="8"/>
        </w:numPr>
        <w:ind w:left="0" w:firstLine="0"/>
      </w:pPr>
      <w:r>
        <w:rPr>
          <w:b/>
          <w:bCs/>
        </w:rPr>
        <w:t xml:space="preserve">Bandwagon: </w:t>
      </w:r>
      <w:r>
        <w:t xml:space="preserve">Attempting to persuade the target audience to join in and take the course of action because “everyone else is taking the same action”.</w:t>
      </w:r>
      <w:r/>
      <w:r/>
    </w:p>
    <w:p>
      <w:pPr>
        <w:pStyle w:val="830"/>
        <w:numPr>
          <w:ilvl w:val="0"/>
          <w:numId w:val="8"/>
        </w:numPr>
        <w:ind w:left="0" w:firstLine="0"/>
      </w:pPr>
      <w:r>
        <w:rPr>
          <w:b/>
          <w:bCs/>
        </w:rPr>
        <w:t xml:space="preserve">Reductio ad hitlerum: </w:t>
      </w:r>
      <w:r>
        <w:t xml:space="preserve">Persuading an audience to disapprove an action or idea by suggesting that the idea is popular with groups hated in contempt by the target audience. It can refer to any person or concept with a negative connotation.</w:t>
      </w:r>
      <w:r/>
      <w:r/>
    </w:p>
    <w:p>
      <w:pPr>
        <w:pStyle w:val="830"/>
        <w:numPr>
          <w:ilvl w:val="0"/>
          <w:numId w:val="8"/>
        </w:numPr>
        <w:ind w:left="0" w:firstLine="0"/>
      </w:pPr>
      <w:r>
        <w:rPr>
          <w:b/>
          <w:bCs/>
        </w:rPr>
        <w:t xml:space="preserve">Repetition: </w:t>
      </w:r>
      <w:r>
        <w:t xml:space="preserve">Repeating the same message over and over again so that the audience will eventually accept it.</w:t>
      </w:r>
      <w:r/>
      <w:r/>
    </w:p>
    <w:p>
      <w:pPr>
        <w:pStyle w:val="830"/>
        <w:numPr>
          <w:ilvl w:val="0"/>
          <w:numId w:val="8"/>
        </w:numPr>
        <w:ind w:left="0" w:firstLine="0"/>
      </w:pPr>
      <w:r>
        <w:rPr>
          <w:b/>
          <w:bCs/>
        </w:rPr>
        <w:t xml:space="preserve">Smears: </w:t>
      </w:r>
      <w:r>
        <w:t xml:space="preserve">A smear is an effort to damage or call into question someone’s reputation, by propounding negative propaganda. It can be applied to individuals or groups.</w:t>
      </w:r>
      <w:r/>
      <w:r/>
    </w:p>
    <w:p>
      <w:pPr>
        <w:pStyle w:val="830"/>
        <w:numPr>
          <w:ilvl w:val="0"/>
          <w:numId w:val="8"/>
        </w:numPr>
        <w:ind w:left="0" w:firstLine="0"/>
      </w:pPr>
      <w:r>
        <w:rPr>
          <w:b/>
          <w:bCs/>
        </w:rPr>
        <w:t xml:space="preserve">Glittering generalities: </w:t>
      </w:r>
      <w:r>
        <w:t xml:space="preserve">T</w:t>
      </w:r>
      <w:r>
        <w:t xml:space="preserve">hese are words or symbols in the value system of the target audience that produce a positive image when attached to a person or issue. Peace, hope, happiness, security, wise leadership, freedom, “The Truth”, etc. are virtue words. Virtue can be also expres</w:t>
      </w:r>
      <w:r>
        <w:t xml:space="preserve">sed in images, where a person or an object is depicted positively.</w:t>
      </w:r>
      <w:r/>
      <w:r/>
    </w:p>
    <w:p>
      <w:pPr>
        <w:pStyle w:val="830"/>
        <w:numPr>
          <w:ilvl w:val="0"/>
          <w:numId w:val="8"/>
        </w:numPr>
        <w:ind w:left="0" w:firstLine="0"/>
        <w:rPr>
          <w:b/>
          <w:bCs w:val="0"/>
          <w:i w:val="0"/>
          <w:highlight w:val="none"/>
        </w:rPr>
      </w:pPr>
      <w:r>
        <w:rPr>
          <w:b/>
          <w:bCs/>
        </w:rPr>
        <w:t xml:space="preserve">Plain folks: </w:t>
      </w:r>
      <w:r>
        <w:t xml:space="preserve">P</w:t>
      </w:r>
      <w:r>
        <w:t xml:space="preserve">lain folks can be seen as the method by which a propagandist encourage their audience that his or her ideas are good because they are the people of the plain folks. Other than that, the propagandist will often attempt to use the specific phrase or expressi</w:t>
      </w:r>
      <w:r>
        <w:t xml:space="preserve">on or even jokes with a specific intonation of a specific audience.</w:t>
      </w:r>
      <w:r>
        <w:rPr>
          <w:b w:val="0"/>
          <w:bCs w:val="0"/>
        </w:rPr>
      </w:r>
      <w:r/>
      <w:r/>
      <w:r/>
      <w:r>
        <w:rPr>
          <w:b/>
          <w:bCs w:val="0"/>
          <w:i w:val="0"/>
          <w:highlight w:val="none"/>
        </w:rPr>
      </w:r>
    </w:p>
    <w:p>
      <w:pPr>
        <w:pStyle w:val="650"/>
      </w:pPr>
      <w:r>
        <w:rPr>
          <w:rStyle w:val="657"/>
        </w:rPr>
        <w:t xml:space="preserve">Data</w:t>
      </w:r>
      <w:r>
        <w:rPr>
          <w:rStyle w:val="657"/>
        </w:rPr>
      </w:r>
      <w:r/>
    </w:p>
    <w:p>
      <w:pPr>
        <w:rPr>
          <w:bCs w:val="0"/>
          <w:i w:val="0"/>
          <w:highlight w:val="yellow"/>
        </w:rPr>
      </w:pPr>
      <w:r>
        <w:t xml:space="preserve">Data was gathered from Twitter, using the twarc </w:t>
      </w:r>
      <w:r>
        <w:fldChar w:fldCharType="begin"/>
        <w:instrText xml:space="preserve"> ADDIN ZOTERO_CITATION {"citationItems":[{"id":"66FVUNDG","type":"book","title":"DocNow/twarc: v2.14.0","publisher":"Zenodo","abstract":"What's Changed Small fix to add missing fields for blue verified in both v1.1 and v2. Add verified_type user field https://github.com/DocNow/twarc/pull/682 Add include_ext_is_blue_verified https://github.com/DocNow/twarc/pull/690 Updates to tutorial doc https://github.com/DocNow/twarc/commit/ae7a161d66e936042d9a8724d9b788c10dd656b4 Full Changelog: https://github.com/DocNow/twarc/compare/v2.13.0...v2.14.0","URL":"https://zenodo.org/record/7799050","note":"DOI: 10.5281/zenodo.7799050","shortTitle":"DocNow/twarc","author":[{"family":"Summers","given":"Ed"},{"family":"Brigadir","given":"Igor"},{"family":"Hames","given":"Sam"},{"family":"Kemenade","given":"Hugo van"},{"family":"Binkley","given":"Peter"},{"family":"tinafigueroa","given":""},{"family":"Ruest","given":"Nick"},{"family":"Walmir","given":""},{"family":"Chudnov","given":"Dan"},{"family":"Thiel","given":"David"},{"family":"Betsy","given":""},{"family":"Chartier","given":"Ryan"},{"family":"celeste","given":""},{"family":"Lin","given":"Hause"},{"family":"Alice","given":""},{"family":"Chosak","given":"Andy"},{"family":"Lenz","given":"Mirko"},{"family":"McCain","given":"R. Miles"},{"family":"Milligan","given":"Ian"},{"family":"Segerberg","given":"Andreas"},{"family":"Shahrokhian","given":"Daniyal"},{"family":"Walsh","given":"Melanie"},{"family":"Lausen","given":"Leonard"},{"family":"Woodward","given":"Nicholas"},{"family":"eggplants","given":""},{"family":"Ramaswami","given":"Ashwin"},{"family":"Nguyen","given":"Boyd"},{"family":"Hereñú","given":"Darío"},{"family":"Milajevs","given":"Dmitrijs"},{"family":"Elwert","given":"Frederik"}],"issued":{"date-parts":[[2023,4,4]]},"accessed":{"date-parts":[[2023,4,25]]},"userID":"10209564","index":15,"short-title":"DocNow/twarc","title-short":"DocNow/twarc"}]} </w:instrText>
      </w:r>
      <w:r>
        <w:fldChar w:fldCharType="separate"/>
      </w:r>
      <w:r>
        <w:t xml:space="preserve">(Summers et al., 2023)</w:t>
      </w:r>
      <w:r>
        <w:fldChar w:fldCharType="end"/>
      </w:r>
      <w:r>
        <w:t xml:space="preserve"> Python package. 10710 tweets were gathered from 26 different accounts in the timeframe of 2022-06-01 - 2023-02-08. The </w:t>
      </w:r>
      <w:r>
        <w:t xml:space="preserve">tweets were then further filtered to contain only those that were written in English and had both</w:t>
      </w:r>
      <w:r>
        <w:t xml:space="preserve"> an image and text. Replies and retweets were excluded to prevent repetitions, as a lot of the accounts are naturally related and retweet each other often. These filters led to a set of 4104 tweets (called the </w:t>
      </w:r>
      <w:r>
        <w:rPr>
          <w:i/>
          <w:iCs/>
        </w:rPr>
        <w:t xml:space="preserve">raw</w:t>
      </w:r>
      <w:r>
        <w:rPr>
          <w:i w:val="0"/>
          <w:iCs w:val="0"/>
        </w:rPr>
        <w:t xml:space="preserve"> dataset in further text)</w:t>
      </w:r>
      <w:r>
        <w:t xml:space="preserve">. At the time of writing, Twitter API</w:t>
      </w:r>
      <w:r>
        <w:t xml:space="preserve"> only allows ac</w:t>
      </w:r>
      <w:r>
        <w:t xml:space="preserve">cess to about 800 of the most recent tweets from a single account’s timeline, which means that the recency of the tweets in the final dataset depends on how active the account is, as tweets that do not contain exactly an image with text were filtered out. </w:t>
      </w:r>
      <w:r>
        <w:rPr>
          <w:highlight w:val="none"/>
        </w:rPr>
        <w:t xml:space="preserve">The tweets were then labeled by a single annotator, with guidelines detailing the propaganda techniques to look for, described below. Due to time constraints, not all tweets were labeled; a total of 1788 tweets were labeled – of these, 656 were found not to be related to the Russo-Ukrainian war, leading to a dataset (called the </w:t>
      </w:r>
      <w:r>
        <w:rPr>
          <w:i/>
          <w:iCs/>
          <w:highlight w:val="none"/>
        </w:rPr>
        <w:t xml:space="preserve">final </w:t>
      </w:r>
      <w:r>
        <w:rPr>
          <w:i w:val="0"/>
          <w:iCs w:val="0"/>
          <w:highlight w:val="none"/>
        </w:rPr>
        <w:t xml:space="preserve">dataset in further text) </w:t>
      </w:r>
      <w:r>
        <w:rPr>
          <w:i w:val="0"/>
          <w:iCs w:val="0"/>
          <w:highlight w:val="none"/>
        </w:rPr>
        <w:t xml:space="preserve">of </w:t>
      </w:r>
      <w:r>
        <w:rPr>
          <w:highlight w:val="none"/>
        </w:rPr>
        <w:t xml:space="preserve">1132 tweets from 25 different accounts. Note that </w:t>
      </w:r>
      <w:r>
        <w:rPr>
          <w:highlight w:val="yellow"/>
        </w:rPr>
        <w:t xml:space="preserve">while there is analysis and interpretations about the distribution of the irrelevant tweets below,</w:t>
      </w:r>
      <w:r>
        <w:rPr>
          <w:highlight w:val="none"/>
        </w:rPr>
        <w:t xml:space="preserve"> the rest of the analysis – including theoretical, statistical and computational – was done on the final dataset</w:t>
      </w:r>
      <w:r>
        <w:rPr>
          <w:i w:val="0"/>
          <w:iCs w:val="0"/>
          <w:highlight w:val="none"/>
        </w:rPr>
        <w:t xml:space="preserve">.</w:t>
      </w:r>
      <w:r>
        <w:rPr>
          <w:i w:val="0"/>
          <w:iCs w:val="0"/>
          <w:highlight w:val="yellow"/>
        </w:rPr>
        <w:t xml:space="preserve"> [add examples of images and accompanied tweets from the dataset]</w:t>
      </w:r>
      <w:r>
        <w:rPr>
          <w:bCs w:val="0"/>
          <w:i w:val="0"/>
          <w:highlight w:val="yellow"/>
        </w:rPr>
      </w:r>
    </w:p>
    <w:p>
      <w:pPr>
        <w:rPr>
          <w:highlight w:val="none"/>
        </w:rPr>
      </w:pPr>
      <w:r>
        <w:rPr>
          <w:highlight w:val="yellow"/>
        </w:rPr>
        <w:t xml:space="preserve">Figure X</w:t>
      </w:r>
      <w:r>
        <w:t xml:space="preserve"> shows the distribution of the tweets with regards to time.</w:t>
      </w:r>
      <w:r>
        <w:rPr>
          <w:highlight w:val="none"/>
        </w:rPr>
        <w:t xml:space="preserve"> As can be seen and mentioned above, the data is skewed in time, with most tweets collected around and a few months before the collection date of 2023-02-08</w:t>
      </w:r>
      <w:r>
        <w:rPr>
          <w:highlight w:val="none"/>
        </w:rPr>
        <w:t xml:space="preserve">.</w:t>
      </w:r>
      <w:r/>
    </w:p>
    <w:p>
      <w:pPr>
        <w:rPr>
          <w:highlight w:val="none"/>
        </w:rPr>
      </w:pPr>
      <w:r>
        <w:rPr>
          <w:highlight w:val="none"/>
        </w:rPr>
      </w:r>
      <w:r>
        <w:t xml:space="preserve">The 26 initial accounts were chosen manually. The accounts of the foreign ministries of both of the countries (</w:t>
      </w:r>
      <w:r>
        <w:rPr>
          <w:i/>
          <w:iCs/>
        </w:rPr>
        <w:t xml:space="preserve">mfa_russia</w:t>
      </w:r>
      <w:r>
        <w:rPr>
          <w:i w:val="0"/>
          <w:iCs w:val="0"/>
        </w:rPr>
        <w:t xml:space="preserve"> and </w:t>
      </w:r>
      <w:r>
        <w:rPr>
          <w:i/>
          <w:iCs/>
        </w:rPr>
        <w:t xml:space="preserve">MFA_Ukraine</w:t>
      </w:r>
      <w:r>
        <w:rPr>
          <w:i w:val="0"/>
          <w:iCs w:val="0"/>
        </w:rPr>
        <w:t xml:space="preserve">) were chosen as starting points. From these, </w:t>
      </w:r>
      <w:r>
        <w:rPr>
          <w:bCs w:val="0"/>
          <w:i w:val="0"/>
          <w:highlight w:val="none"/>
        </w:rPr>
        <w:t xml:space="preserve">an inspection of the accounts they followed was done. While the accounts were ultimately chosen subjectively, some criteria were set: they should have a Twitter-assigned label of one of </w:t>
      </w:r>
      <w:r>
        <w:rPr>
          <w:bCs w:val="0"/>
          <w:i/>
          <w:iCs/>
          <w:highlight w:val="none"/>
        </w:rPr>
        <w:t xml:space="preserve">Russian government organization</w:t>
      </w:r>
      <w:r>
        <w:rPr>
          <w:bCs w:val="0"/>
          <w:i w:val="0"/>
          <w:highlight w:val="none"/>
        </w:rPr>
        <w:t xml:space="preserve">, </w:t>
      </w:r>
      <w:r>
        <w:rPr>
          <w:bCs w:val="0"/>
          <w:i/>
          <w:iCs/>
          <w:highlight w:val="none"/>
        </w:rPr>
        <w:t xml:space="preserve">Russian government official</w:t>
      </w:r>
      <w:r>
        <w:rPr>
          <w:bCs w:val="0"/>
          <w:i w:val="0"/>
          <w:highlight w:val="none"/>
        </w:rPr>
        <w:t xml:space="preserve">, </w:t>
      </w:r>
      <w:r>
        <w:rPr>
          <w:bCs w:val="0"/>
          <w:i/>
          <w:iCs/>
          <w:highlight w:val="none"/>
        </w:rPr>
        <w:t xml:space="preserve">Ukrainian government organization</w:t>
      </w:r>
      <w:r>
        <w:rPr>
          <w:bCs w:val="0"/>
          <w:i w:val="0"/>
          <w:highlight w:val="none"/>
        </w:rPr>
        <w:t xml:space="preserve">, or </w:t>
      </w:r>
      <w:r>
        <w:rPr>
          <w:bCs w:val="0"/>
          <w:i/>
          <w:iCs/>
          <w:highlight w:val="none"/>
        </w:rPr>
        <w:t xml:space="preserve">Ukrainian government official; </w:t>
      </w:r>
      <w:r>
        <w:rPr>
          <w:bCs w:val="0"/>
          <w:i w:val="0"/>
          <w:iCs w:val="0"/>
          <w:highlight w:val="none"/>
        </w:rPr>
        <w:t xml:space="preserve">they should communicate either completely, or primarily, in English; and they should have some relevance to the Russo-Ukrainian war (this excludes accounts such as </w:t>
      </w:r>
      <w:r>
        <w:rPr>
          <w:bCs w:val="0"/>
          <w:i/>
          <w:iCs/>
          <w:highlight w:val="none"/>
        </w:rPr>
        <w:t xml:space="preserve">the </w:t>
      </w:r>
      <w:r>
        <w:rPr>
          <w:bCs w:val="0"/>
          <w:i/>
          <w:iCs/>
          <w:highlight w:val="none"/>
        </w:rPr>
        <w:t xml:space="preserve">Embassy of Russia in South Africa</w:t>
      </w:r>
      <w:r>
        <w:rPr>
          <w:bCs w:val="0"/>
          <w:i w:val="0"/>
          <w:iCs w:val="0"/>
          <w:highlight w:val="none"/>
        </w:rPr>
        <w:t xml:space="preserve">)</w:t>
      </w:r>
      <w:r>
        <w:rPr>
          <w:bCs w:val="0"/>
          <w:i w:val="0"/>
          <w:iCs w:val="0"/>
          <w:highlight w:val="none"/>
        </w:rPr>
        <w:t xml:space="preserve">.</w:t>
      </w:r>
      <w:r>
        <w:rPr>
          <w:bCs w:val="0"/>
          <w:i w:val="0"/>
          <w:iCs w:val="0"/>
          <w:highlight w:val="none"/>
        </w:rPr>
        <w:t xml:space="preserve"> Note that these labels existed at the time of data collection; after that, Twitter</w:t>
      </w:r>
      <w:r>
        <w:rPr>
          <w:bCs w:val="0"/>
          <w:i w:val="0"/>
          <w:iCs w:val="0"/>
          <w:highlight w:val="none"/>
        </w:rPr>
        <w:t xml:space="preserve"> reworked its account functionality, and accounts now have gray check marks to denote their status as a government organization or official, though it does not note which government the account is affiliated to.</w:t>
      </w:r>
      <w:r>
        <w:rPr>
          <w:bCs w:val="0"/>
          <w:i w:val="0"/>
          <w:iCs w:val="0"/>
          <w:highlight w:val="none"/>
        </w:rPr>
        <w:t xml:space="preserve"> A list of the accounts used, a short description, and the number of their tweets in the final dataset are shown in Tables 1 and 2.</w:t>
      </w:r>
      <w:r>
        <w:rPr>
          <w:bCs w:val="0"/>
          <w:i w:val="0"/>
          <w:highlight w:val="none"/>
        </w:rPr>
      </w:r>
    </w:p>
    <w:p>
      <w:pPr>
        <w:rPr>
          <w:bCs w:val="0"/>
          <w:i w:val="0"/>
          <w:highlight w:val="none"/>
        </w:rPr>
      </w:pPr>
      <w:r>
        <w:rPr>
          <w:highlight w:val="none"/>
        </w:rPr>
        <w:t xml:space="preserve">It can be seen that there is a slight imbalance in the number of tweets from the Russian and Ukrainian sides; while this was something I evaluated when considering the accounts, it was not the primary factor. </w:t>
      </w:r>
      <w:r>
        <w:rPr>
          <w:highlight w:val="yellow"/>
        </w:rPr>
        <w:t xml:space="preserve">[if this had an effect on the analysis, mention it here] </w:t>
      </w:r>
      <w:r>
        <w:rPr>
          <w:highlight w:val="none"/>
        </w:rPr>
        <w:t xml:space="preserve">A bigger discrepancy can be seen when comparing the organization and individual levels. While only 4 tweets from the Russian dataset were made by individuals, 288 tweets were written by Ukrainian government officials. The primary reason for this is the inactivity of Russian government official accounts; for example, in the raw dataset, Dmitry Polyanskiy, the Russian representative to the UN, has 9 tweets. Meanwhile, Sergiy Kyslytsia, his counterpart for Ukraine, has 239 tweets in the raw dataset, and 51 tweets in the final one. This could be due to the fact that Twitter has been restricted in Russia </w:t>
      </w:r>
      <w:r>
        <w:fldChar w:fldCharType="begin"/>
        <w:instrText xml:space="preserve"> ADDIN ZOTERO_CITATION {"citationItems":[{"id":"5VL3M9G5","type":"article-newspaper","title":"Ukraine invasion: Russia restricts social media access","container-title":"BBC News","section":"Technology","abstract":"Connectivity watchers accuse Moscow of \"limiting the free flow of information at a time of crisis\".","URL":"https://www.bbc.com/news/technology-60533083","shortTitle":"Ukraine invasion","language":"en-GB","author":[{"family":"Tidy","given":"Joe"},{"family":"Clayton","given":"James"}],"issued":{"date-parts":[[2022,2,25]]},"accessed":{"date-parts":[[2023,5,4]]},"userID":"10209564","index":22,"short-title":"Ukraine invasion","title-short":"Ukraine invasion"}]} </w:instrText>
        <w:fldChar w:fldCharType="separate"/>
      </w:r>
      <w:r>
        <w:t xml:space="preserve">(Tidy &amp; Clayton, 2022)</w:t>
      </w:r>
      <w:r>
        <w:fldChar w:fldCharType="end"/>
      </w:r>
      <w:r>
        <w:rPr>
          <w:highlight w:val="none"/>
        </w:rPr>
        <w:t xml:space="preserve">, and in turn, the website limited the reach of Russian government accounts </w:t>
      </w:r>
      <w:r>
        <w:fldChar w:fldCharType="begin"/>
        <w:instrText xml:space="preserve"> ADDIN ZOTERO_CITATION {"citationItems":[{"id":"BM92CTT2","type":"article-newspaper","title":"Twitter moves to limit Russian government accounts","container-title":"BBC News","section":"Technology","abstract":"The platform has taken action to limit more than 300 Kremlin accounts, including President Putin's.","URL":"https://www.bbc.com/news/technology-60992373","language":"en-GB","issued":{"date-parts":[[2022,4,5]]},"accessed":{"date-parts":[[2023,5,4]]},"userID":"10209564","index":21,"author":[{"family":"Clayton","given":"James"}]}]} </w:instrText>
        <w:fldChar w:fldCharType="separate"/>
      </w:r>
      <w:r/>
      <w:r>
        <w:t xml:space="preserve">(Clayton, 2022)</w:t>
      </w:r>
      <w:r>
        <w:fldChar w:fldCharType="end"/>
      </w:r>
      <w:r>
        <w:rPr>
          <w:highlight w:val="none"/>
        </w:rPr>
        <w:t xml:space="preserve">. However, as detailed later, the Russian organization accounts frequently featured quotes from officials, which can act as a substitute for private accounts. Finally, a difference in the numbers of types of accounts can be noted. The Russian accounts consist of 10 organizations and 3 individuals, while the Ukrainian side has 5 organizations and 7 individuals. At the time of data collection, some Ukrainian government accounts, which now have a grey check mark to note their official status, did not have any indication that they were verified accounts. Because of this, they were not added to the list of accounts used, leading to a smaller number of organizational accounts on one side.</w:t>
      </w:r>
      <w:r>
        <w:rPr>
          <w:highlight w:val="none"/>
        </w:rPr>
      </w:r>
    </w:p>
    <w:p>
      <w:pPr>
        <w:rPr>
          <w:highlight w:val="yellow"/>
        </w:rPr>
      </w:pPr>
      <w:r>
        <w:rPr>
          <w:highlight w:val="none"/>
        </w:rPr>
        <mc:AlternateContent>
          <mc:Choice Requires="wpg">
            <w:drawing>
              <wp:inline xmlns:wp="http://schemas.openxmlformats.org/drawingml/2006/wordprocessingDrawing" distT="0" distB="0" distL="0" distR="0">
                <wp:extent cx="5940425" cy="445551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48986" name=""/>
                        <pic:cNvPicPr>
                          <a:picLocks noChangeAspect="1"/>
                        </pic:cNvPicPr>
                        <pic:nvPr/>
                      </pic:nvPicPr>
                      <pic:blipFill>
                        <a:blip r:embed="rId9"/>
                        <a:stretch/>
                      </pic:blipFill>
                      <pic:spPr bwMode="auto">
                        <a:xfrm>
                          <a:off x="0" y="0"/>
                          <a:ext cx="5940424" cy="4455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50.8pt;mso-wrap-distance-left:0.0pt;mso-wrap-distance-top:0.0pt;mso-wrap-distance-right:0.0pt;mso-wrap-distance-bottom:0.0pt;" stroked="false">
                <v:path textboxrect="0,0,0,0"/>
                <v:imagedata r:id="rId9" o:title=""/>
              </v:shape>
            </w:pict>
          </mc:Fallback>
        </mc:AlternateContent>
      </w:r>
      <w:r>
        <w:rPr>
          <w:highlight w:val="none"/>
        </w:rPr>
      </w:r>
      <w:r/>
    </w:p>
    <w:p>
      <w:pPr>
        <w:pStyle w:val="680"/>
      </w:pPr>
      <w:r>
        <w:t xml:space="preserve">Figure </w:t>
      </w:r>
      <w:r>
        <w:fldChar w:fldCharType="begin"/>
        <w:instrText xml:space="preserve"> SEQ Figure \* Arabic </w:instrText>
        <w:fldChar w:fldCharType="separate"/>
      </w:r>
      <w:r>
        <w:t xml:space="preserve">1</w:t>
      </w:r>
      <w:r>
        <w:fldChar w:fldCharType="end"/>
      </w:r>
      <w:r>
        <w:t xml:space="preserve">: Distribution of the dataset over time. </w:t>
      </w:r>
      <w:r>
        <w:rPr>
          <w:bCs w:val="0"/>
          <w:i w:val="0"/>
          <w:highlight w:val="none"/>
        </w:rPr>
      </w:r>
      <w:r/>
    </w:p>
    <w:tbl>
      <w:tblPr>
        <w:tblStyle w:val="682"/>
        <w:tblW w:w="0" w:type="auto"/>
        <w:tblLook w:val="04A0" w:firstRow="1" w:lastRow="0" w:firstColumn="1" w:lastColumn="0" w:noHBand="0" w:noVBand="1"/>
      </w:tblPr>
      <w:tblGrid>
        <w:gridCol w:w="3118"/>
        <w:gridCol w:w="3118"/>
        <w:gridCol w:w="3118"/>
      </w:tblGrid>
      <w:tr>
        <w:trPr/>
        <w:tc>
          <w:tcPr>
            <w:tcW w:w="3118" w:type="dxa"/>
            <w:textDirection w:val="lrTb"/>
            <w:noWrap w:val="false"/>
          </w:tcPr>
          <w:p>
            <w:pPr>
              <w:rPr>
                <w:b/>
                <w:bCs/>
                <w:i w:val="0"/>
                <w:highlight w:val="none"/>
              </w:rPr>
            </w:pPr>
            <w:r>
              <w:rPr>
                <w:b/>
                <w:bCs/>
                <w:i w:val="0"/>
                <w:iCs w:val="0"/>
                <w:highlight w:val="none"/>
              </w:rPr>
              <w:t xml:space="preserve">Account handle</w:t>
            </w:r>
            <w:r>
              <w:rPr>
                <w:b/>
                <w:bCs/>
                <w:i w:val="0"/>
                <w:iCs w:val="0"/>
                <w:highlight w:val="none"/>
              </w:rPr>
            </w:r>
            <w:r>
              <w:rPr>
                <w:b/>
                <w:bCs/>
              </w:rPr>
            </w:r>
          </w:p>
        </w:tc>
        <w:tc>
          <w:tcPr>
            <w:tcW w:w="3118" w:type="dxa"/>
            <w:textDirection w:val="lrTb"/>
            <w:noWrap w:val="false"/>
          </w:tcPr>
          <w:p>
            <w:pPr>
              <w:rPr>
                <w:b/>
                <w:bCs/>
                <w:i w:val="0"/>
                <w:highlight w:val="none"/>
              </w:rPr>
            </w:pPr>
            <w:r>
              <w:rPr>
                <w:b/>
                <w:bCs/>
                <w:i w:val="0"/>
                <w:iCs w:val="0"/>
                <w:highlight w:val="none"/>
              </w:rPr>
              <w:t xml:space="preserve">Description of account</w:t>
            </w:r>
            <w:r>
              <w:rPr>
                <w:b/>
                <w:bCs/>
                <w:i w:val="0"/>
                <w:iCs w:val="0"/>
                <w:highlight w:val="none"/>
              </w:rPr>
            </w:r>
            <w:r>
              <w:rPr>
                <w:b/>
                <w:bCs/>
              </w:rPr>
            </w:r>
          </w:p>
        </w:tc>
        <w:tc>
          <w:tcPr>
            <w:tcW w:w="3118" w:type="dxa"/>
            <w:textDirection w:val="lrTb"/>
            <w:noWrap w:val="false"/>
          </w:tcPr>
          <w:p>
            <w:pPr>
              <w:rPr>
                <w:b/>
                <w:bCs/>
                <w:i w:val="0"/>
                <w:highlight w:val="none"/>
              </w:rPr>
            </w:pPr>
            <w:r>
              <w:rPr>
                <w:b/>
                <w:bCs/>
                <w:i w:val="0"/>
                <w:iCs w:val="0"/>
                <w:highlight w:val="none"/>
              </w:rPr>
              <w:t xml:space="preserve">Number of tweets in dataset</w:t>
            </w:r>
            <w:r>
              <w:rPr>
                <w:b/>
                <w:bCs/>
                <w:i w:val="0"/>
                <w:iCs w:val="0"/>
                <w:highlight w:val="none"/>
              </w:rPr>
            </w:r>
            <w:r>
              <w:rPr>
                <w:b/>
                <w:bCs/>
              </w:rPr>
            </w:r>
          </w:p>
        </w:tc>
      </w:tr>
      <w:tr>
        <w:trPr/>
        <w:tc>
          <w:tcPr>
            <w:tcW w:w="3118" w:type="dxa"/>
            <w:textDirection w:val="lrTb"/>
            <w:noWrap w:val="false"/>
          </w:tcPr>
          <w:p>
            <w:pPr>
              <w:rPr>
                <w:bCs w:val="0"/>
                <w:i w:val="0"/>
                <w:highlight w:val="none"/>
              </w:rPr>
            </w:pPr>
            <w:r>
              <w:rPr>
                <w:i w:val="0"/>
                <w:iCs w:val="0"/>
                <w:highlight w:val="none"/>
              </w:rPr>
              <w:t xml:space="preserve">mfa_russia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Ministry of Foreign Affairs of Russia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93</w:t>
            </w:r>
            <w:r/>
          </w:p>
        </w:tc>
      </w:tr>
      <w:tr>
        <w:trPr/>
        <w:tc>
          <w:tcPr>
            <w:tcW w:w="3118" w:type="dxa"/>
            <w:textDirection w:val="lrTb"/>
            <w:noWrap w:val="false"/>
          </w:tcPr>
          <w:p>
            <w:pPr>
              <w:rPr>
                <w:bCs w:val="0"/>
                <w:i w:val="0"/>
                <w:highlight w:val="none"/>
              </w:rPr>
            </w:pPr>
            <w:r>
              <w:rPr>
                <w:i w:val="0"/>
                <w:iCs w:val="0"/>
                <w:highlight w:val="none"/>
              </w:rPr>
              <w:t xml:space="preserve">mission_rf</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Permanent Mission of Russia to the International Organizations in Vienna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8</w:t>
            </w:r>
            <w:r/>
          </w:p>
        </w:tc>
      </w:tr>
      <w:tr>
        <w:trPr/>
        <w:tc>
          <w:tcPr>
            <w:tcW w:w="3118" w:type="dxa"/>
            <w:textDirection w:val="lrTb"/>
            <w:noWrap w:val="false"/>
          </w:tcPr>
          <w:p>
            <w:pPr>
              <w:rPr>
                <w:bCs w:val="0"/>
                <w:i w:val="0"/>
                <w:highlight w:val="none"/>
              </w:rPr>
            </w:pPr>
            <w:r>
              <w:rPr>
                <w:i w:val="0"/>
                <w:iCs w:val="0"/>
                <w:highlight w:val="none"/>
              </w:rPr>
              <w:t xml:space="preserve">armscontrol_rus</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Arms Control Delegation in Vienna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37</w:t>
            </w:r>
            <w:r/>
          </w:p>
        </w:tc>
      </w:tr>
      <w:tr>
        <w:trPr/>
        <w:tc>
          <w:tcPr>
            <w:tcW w:w="3118" w:type="dxa"/>
            <w:textDirection w:val="lrTb"/>
            <w:noWrap w:val="false"/>
          </w:tcPr>
          <w:p>
            <w:pPr>
              <w:rPr>
                <w:bCs w:val="0"/>
                <w:i w:val="0"/>
                <w:highlight w:val="none"/>
              </w:rPr>
            </w:pPr>
            <w:r>
              <w:rPr>
                <w:i w:val="0"/>
                <w:iCs w:val="0"/>
                <w:highlight w:val="none"/>
              </w:rPr>
              <w:t xml:space="preserve">RusMission_EU</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Permanent Mission of Russia to the EU</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5</w:t>
            </w:r>
            <w:r/>
          </w:p>
        </w:tc>
      </w:tr>
      <w:tr>
        <w:trPr/>
        <w:tc>
          <w:tcPr>
            <w:tcW w:w="3118" w:type="dxa"/>
            <w:textDirection w:val="lrTb"/>
            <w:noWrap w:val="false"/>
          </w:tcPr>
          <w:p>
            <w:pPr>
              <w:rPr>
                <w:bCs w:val="0"/>
                <w:i w:val="0"/>
                <w:highlight w:val="none"/>
              </w:rPr>
            </w:pPr>
            <w:r>
              <w:rPr>
                <w:i w:val="0"/>
                <w:iCs w:val="0"/>
                <w:highlight w:val="none"/>
              </w:rPr>
              <w:t xml:space="preserve">RussiaUN</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Mission to the UN in NY</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43</w:t>
            </w:r>
            <w:r/>
          </w:p>
        </w:tc>
      </w:tr>
      <w:tr>
        <w:trPr>
          <w:trHeight w:val="213"/>
        </w:trPr>
        <w:tc>
          <w:tcPr>
            <w:tcW w:w="3118" w:type="dxa"/>
            <w:textDirection w:val="lrTb"/>
            <w:noWrap w:val="false"/>
          </w:tcPr>
          <w:p>
            <w:pPr>
              <w:rPr>
                <w:bCs w:val="0"/>
                <w:i w:val="0"/>
                <w:highlight w:val="none"/>
              </w:rPr>
            </w:pPr>
            <w:r>
              <w:rPr>
                <w:i w:val="0"/>
                <w:iCs w:val="0"/>
                <w:highlight w:val="none"/>
              </w:rPr>
              <w:t xml:space="preserve">RusEmbUSA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Embassy in the USA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39</w:t>
            </w:r>
            <w:r/>
          </w:p>
        </w:tc>
      </w:tr>
      <w:tr>
        <w:trPr/>
        <w:tc>
          <w:tcPr>
            <w:tcW w:w="3118" w:type="dxa"/>
            <w:textDirection w:val="lrTb"/>
            <w:noWrap w:val="false"/>
          </w:tcPr>
          <w:p>
            <w:pPr>
              <w:rPr>
                <w:bCs w:val="0"/>
                <w:i w:val="0"/>
                <w:highlight w:val="none"/>
              </w:rPr>
            </w:pPr>
            <w:r>
              <w:rPr>
                <w:i w:val="0"/>
                <w:iCs w:val="0"/>
                <w:highlight w:val="none"/>
              </w:rPr>
              <w:t xml:space="preserve">mission_russian</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Mission to the UN and other International Organizations in Geneva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23</w:t>
            </w:r>
            <w:r/>
          </w:p>
        </w:tc>
      </w:tr>
      <w:tr>
        <w:trPr/>
        <w:tc>
          <w:tcPr>
            <w:tcW w:w="3118" w:type="dxa"/>
            <w:vMerge w:val="restart"/>
            <w:textDirection w:val="lrTb"/>
            <w:noWrap w:val="false"/>
          </w:tcPr>
          <w:p>
            <w:pPr>
              <w:rPr>
                <w:i w:val="0"/>
                <w:iCs w:val="0"/>
                <w:highlight w:val="none"/>
              </w:rPr>
            </w:pPr>
            <w:r>
              <w:rPr>
                <w:i w:val="0"/>
                <w:iCs w:val="0"/>
                <w:highlight w:val="none"/>
              </w:rPr>
              <w:t xml:space="preserve">RussianEmbassy</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Russian Embassy in London</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203</w:t>
            </w:r>
            <w:r/>
          </w:p>
        </w:tc>
      </w:tr>
      <w:tr>
        <w:trPr/>
        <w:tc>
          <w:tcPr>
            <w:tcW w:w="3118" w:type="dxa"/>
            <w:vMerge w:val="restart"/>
            <w:textDirection w:val="lrTb"/>
            <w:noWrap w:val="false"/>
          </w:tcPr>
          <w:p>
            <w:pPr>
              <w:rPr>
                <w:i w:val="0"/>
                <w:iCs w:val="0"/>
                <w:highlight w:val="none"/>
              </w:rPr>
            </w:pPr>
            <w:r>
              <w:rPr>
                <w:i w:val="0"/>
                <w:iCs w:val="0"/>
                <w:highlight w:val="none"/>
              </w:rPr>
              <w:t xml:space="preserve">natomission_ru</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Russian Mission to NATO</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1</w:t>
            </w:r>
            <w:r/>
          </w:p>
        </w:tc>
      </w:tr>
      <w:tr>
        <w:trPr/>
        <w:tc>
          <w:tcPr>
            <w:tcW w:w="3118" w:type="dxa"/>
            <w:vMerge w:val="restart"/>
            <w:textDirection w:val="lrTb"/>
            <w:noWrap w:val="false"/>
          </w:tcPr>
          <w:p>
            <w:pPr>
              <w:rPr>
                <w:i w:val="0"/>
                <w:iCs w:val="0"/>
                <w:highlight w:val="none"/>
              </w:rPr>
            </w:pPr>
            <w:r>
              <w:rPr>
                <w:i w:val="0"/>
                <w:iCs w:val="0"/>
                <w:highlight w:val="none"/>
              </w:rPr>
              <w:t xml:space="preserve">CoE_Russia</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Russian Embassy to France</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34</w:t>
            </w:r>
            <w:r/>
          </w:p>
        </w:tc>
      </w:tr>
      <w:tr>
        <w:trPr/>
        <w:tc>
          <w:tcPr>
            <w:tcW w:w="3118" w:type="dxa"/>
            <w:vMerge w:val="restart"/>
            <w:textDirection w:val="lrTb"/>
            <w:noWrap w:val="false"/>
          </w:tcPr>
          <w:p>
            <w:pPr>
              <w:rPr>
                <w:i w:val="0"/>
                <w:iCs w:val="0"/>
                <w:highlight w:val="none"/>
              </w:rPr>
            </w:pPr>
            <w:r>
              <w:rPr>
                <w:i w:val="0"/>
                <w:iCs w:val="0"/>
                <w:highlight w:val="none"/>
              </w:rPr>
              <w:t xml:space="preserve">Amb_Ulyanov</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Mikhail Ulyanov, representative of Russia to the International Organizations in Vienna</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1</w:t>
            </w:r>
            <w:r/>
          </w:p>
        </w:tc>
      </w:tr>
      <w:tr>
        <w:trPr/>
        <w:tc>
          <w:tcPr>
            <w:tcW w:w="3118" w:type="dxa"/>
            <w:vMerge w:val="restart"/>
            <w:textDirection w:val="lrTb"/>
            <w:noWrap w:val="false"/>
          </w:tcPr>
          <w:p>
            <w:pPr>
              <w:rPr>
                <w:i w:val="0"/>
                <w:iCs w:val="0"/>
                <w:highlight w:val="none"/>
              </w:rPr>
            </w:pPr>
            <w:r>
              <w:rPr>
                <w:i w:val="0"/>
                <w:iCs w:val="0"/>
                <w:highlight w:val="none"/>
              </w:rPr>
              <w:t xml:space="preserve">Dpol_un</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Dmitry Polyanskiy, representative of Russia to the UN</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2</w:t>
            </w:r>
            <w:r/>
          </w:p>
        </w:tc>
      </w:tr>
      <w:tr>
        <w:trPr/>
        <w:tc>
          <w:tcPr>
            <w:tcW w:w="3118" w:type="dxa"/>
            <w:vMerge w:val="restart"/>
            <w:textDirection w:val="lrTb"/>
            <w:noWrap w:val="false"/>
          </w:tcPr>
          <w:p>
            <w:pPr>
              <w:rPr>
                <w:i w:val="0"/>
                <w:iCs w:val="0"/>
                <w:highlight w:val="none"/>
              </w:rPr>
            </w:pPr>
            <w:r>
              <w:rPr>
                <w:i w:val="0"/>
                <w:iCs w:val="0"/>
                <w:highlight w:val="none"/>
              </w:rPr>
              <w:t xml:space="preserve">MedvedevRussiaE</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Dmitry Medvedev, deputy chair of the Security Council of Russia</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1</w:t>
            </w:r>
            <w:r/>
          </w:p>
        </w:tc>
      </w:tr>
      <w:tr>
        <w:trPr/>
        <w:tc>
          <w:tcPr>
            <w:tcW w:w="3118" w:type="dxa"/>
            <w:vMerge w:val="restart"/>
            <w:textDirection w:val="lrTb"/>
            <w:noWrap w:val="false"/>
          </w:tcPr>
          <w:p>
            <w:pPr>
              <w:rPr>
                <w:i w:val="0"/>
                <w:iCs w:val="0"/>
                <w:highlight w:val="none"/>
              </w:rPr>
            </w:pPr>
            <w:r>
              <w:rPr>
                <w:b/>
                <w:bCs/>
                <w:i w:val="0"/>
                <w:iCs w:val="0"/>
                <w:highlight w:val="none"/>
              </w:rPr>
              <w:t xml:space="preserve">Total</w:t>
            </w:r>
            <w:r>
              <w:rPr>
                <w:i w:val="0"/>
                <w:iCs w:val="0"/>
                <w:highlight w:val="none"/>
              </w:rPr>
            </w:r>
          </w:p>
        </w:tc>
        <w:tc>
          <w:tcPr>
            <w:tcW w:w="3118" w:type="dxa"/>
            <w:vMerge w:val="restart"/>
            <w:textDirection w:val="lrTb"/>
            <w:noWrap w:val="false"/>
          </w:tcPr>
          <w:p>
            <w:pPr>
              <w:rPr>
                <w:i w:val="0"/>
                <w:iCs w:val="0"/>
                <w:highlight w:val="none"/>
              </w:rPr>
            </w:pPr>
            <w:r>
              <w:rPr>
                <w:i w:val="0"/>
                <w:iCs w:val="0"/>
                <w:highlight w:val="none"/>
              </w:rPr>
            </w:r>
            <w:r>
              <w:rPr>
                <w:i w:val="0"/>
                <w:iCs w:val="0"/>
                <w:highlight w:val="none"/>
              </w:rPr>
            </w:r>
          </w:p>
        </w:tc>
        <w:tc>
          <w:tcPr>
            <w:tcW w:w="3118" w:type="dxa"/>
            <w:vMerge w:val="restart"/>
            <w:textDirection w:val="lrTb"/>
            <w:noWrap w:val="false"/>
          </w:tcPr>
          <w:p>
            <w:pPr>
              <w:rPr>
                <w:i w:val="0"/>
                <w:iCs w:val="0"/>
                <w:highlight w:val="none"/>
              </w:rPr>
            </w:pPr>
            <w:r>
              <w:rPr>
                <w:i w:val="0"/>
                <w:iCs w:val="0"/>
                <w:highlight w:val="none"/>
              </w:rPr>
              <w:t xml:space="preserve">490</w:t>
            </w:r>
            <w:r>
              <w:rPr>
                <w:i w:val="0"/>
                <w:iCs w:val="0"/>
                <w:highlight w:val="none"/>
              </w:rPr>
            </w:r>
          </w:p>
        </w:tc>
      </w:tr>
    </w:tbl>
    <w:p>
      <w:pPr>
        <w:pStyle w:val="680"/>
      </w:pPr>
      <w:r>
        <w:t xml:space="preserve">Table </w:t>
      </w:r>
      <w:r>
        <w:fldChar w:fldCharType="begin"/>
        <w:instrText xml:space="preserve"> SEQ Table \* Arabic </w:instrText>
        <w:fldChar w:fldCharType="separate"/>
      </w:r>
      <w:r>
        <w:t xml:space="preserve">1</w:t>
      </w:r>
      <w:r/>
      <w:r>
        <w:fldChar w:fldCharType="end"/>
      </w:r>
      <w:r>
        <w:t xml:space="preserve">: List of Russian accounts, their description, and number of tweets in the dataset. </w:t>
      </w:r>
      <w:r/>
    </w:p>
    <w:p>
      <w:pPr>
        <w:rPr>
          <w:bCs w:val="0"/>
          <w:i w:val="0"/>
          <w:highlight w:val="none"/>
        </w:rPr>
      </w:pPr>
      <w:r>
        <w:rPr>
          <w:bCs w:val="0"/>
          <w:i w:val="0"/>
          <w:iCs w:val="0"/>
          <w:highlight w:val="none"/>
        </w:rPr>
      </w:r>
      <w:r>
        <w:rPr>
          <w:bCs w:val="0"/>
          <w:i w:val="0"/>
          <w:iCs w:val="0"/>
          <w:highlight w:val="none"/>
        </w:rPr>
      </w:r>
      <w:r/>
    </w:p>
    <w:tbl>
      <w:tblPr>
        <w:tblStyle w:val="682"/>
        <w:tblW w:w="0" w:type="auto"/>
        <w:tblLook w:val="04A0" w:firstRow="1" w:lastRow="0" w:firstColumn="1" w:lastColumn="0" w:noHBand="0" w:noVBand="1"/>
      </w:tblPr>
      <w:tblGrid>
        <w:gridCol w:w="3118"/>
        <w:gridCol w:w="3118"/>
        <w:gridCol w:w="3118"/>
      </w:tblGrid>
      <w:tr>
        <w:trPr/>
        <w:tc>
          <w:tcPr>
            <w:tcW w:w="3118" w:type="dxa"/>
            <w:vMerge w:val="restart"/>
            <w:textDirection w:val="lrTb"/>
            <w:noWrap w:val="false"/>
          </w:tcPr>
          <w:p>
            <w:pPr>
              <w:rPr>
                <w:bCs w:val="0"/>
                <w:highlight w:val="none"/>
              </w:rPr>
            </w:pPr>
            <w:r>
              <w:rPr>
                <w:b/>
                <w:bCs/>
                <w:i w:val="0"/>
                <w:iCs w:val="0"/>
                <w:highlight w:val="none"/>
              </w:rPr>
              <w:t xml:space="preserve">Account handle</w:t>
            </w:r>
            <w:r>
              <w:rPr>
                <w:b/>
                <w:bCs/>
                <w:i w:val="0"/>
                <w:highlight w:val="none"/>
              </w:rPr>
            </w:r>
            <w:r/>
          </w:p>
        </w:tc>
        <w:tc>
          <w:tcPr>
            <w:tcW w:w="3118" w:type="dxa"/>
            <w:vMerge w:val="restart"/>
            <w:textDirection w:val="lrTb"/>
            <w:noWrap w:val="false"/>
          </w:tcPr>
          <w:p>
            <w:pPr>
              <w:rPr>
                <w:bCs w:val="0"/>
                <w:highlight w:val="none"/>
              </w:rPr>
            </w:pPr>
            <w:r>
              <w:rPr>
                <w:b/>
                <w:bCs/>
                <w:i w:val="0"/>
                <w:iCs w:val="0"/>
                <w:highlight w:val="none"/>
              </w:rPr>
              <w:t xml:space="preserve">Description of account</w:t>
            </w:r>
            <w:r>
              <w:rPr>
                <w:b/>
                <w:bCs/>
                <w:i w:val="0"/>
                <w:highlight w:val="none"/>
              </w:rPr>
            </w:r>
            <w:r/>
          </w:p>
        </w:tc>
        <w:tc>
          <w:tcPr>
            <w:tcW w:w="3118" w:type="dxa"/>
            <w:vMerge w:val="restart"/>
            <w:textDirection w:val="lrTb"/>
            <w:noWrap w:val="false"/>
          </w:tcPr>
          <w:p>
            <w:pPr>
              <w:rPr>
                <w:bCs w:val="0"/>
                <w:highlight w:val="none"/>
              </w:rPr>
            </w:pPr>
            <w:r>
              <w:rPr>
                <w:b/>
                <w:bCs/>
                <w:i w:val="0"/>
                <w:iCs w:val="0"/>
                <w:highlight w:val="none"/>
              </w:rPr>
              <w:t xml:space="preserve">Number of tweets in dataset</w:t>
            </w:r>
            <w:r>
              <w:rPr>
                <w:b/>
                <w:bCs/>
                <w:i w:val="0"/>
                <w:highlight w:val="none"/>
              </w:rPr>
            </w:r>
            <w:r/>
          </w:p>
        </w:tc>
      </w:tr>
      <w:tr>
        <w:trPr/>
        <w:tc>
          <w:tcPr>
            <w:tcW w:w="3118" w:type="dxa"/>
            <w:textDirection w:val="lrTb"/>
            <w:noWrap w:val="false"/>
          </w:tcPr>
          <w:p>
            <w:r>
              <w:t xml:space="preserve">MFA_Ukraine</w:t>
            </w:r>
            <w:r/>
          </w:p>
        </w:tc>
        <w:tc>
          <w:tcPr>
            <w:tcW w:w="3118" w:type="dxa"/>
            <w:textDirection w:val="lrTb"/>
            <w:noWrap w:val="false"/>
          </w:tcPr>
          <w:p>
            <w:r>
              <w:t xml:space="preserve">Ministry of Foreign Affairs of Ukraine</w:t>
            </w:r>
            <w:r/>
          </w:p>
        </w:tc>
        <w:tc>
          <w:tcPr>
            <w:tcW w:w="3118" w:type="dxa"/>
            <w:textDirection w:val="lrTb"/>
            <w:noWrap w:val="false"/>
          </w:tcPr>
          <w:p>
            <w:r>
              <w:t xml:space="preserve">105</w:t>
            </w:r>
            <w:r/>
          </w:p>
        </w:tc>
      </w:tr>
      <w:tr>
        <w:trPr/>
        <w:tc>
          <w:tcPr>
            <w:tcW w:w="3118" w:type="dxa"/>
            <w:textDirection w:val="lrTb"/>
            <w:noWrap w:val="false"/>
          </w:tcPr>
          <w:p>
            <w:r>
              <w:t xml:space="preserve">UKRinUN</w:t>
            </w:r>
            <w:r/>
          </w:p>
        </w:tc>
        <w:tc>
          <w:tcPr>
            <w:tcW w:w="3118" w:type="dxa"/>
            <w:textDirection w:val="lrTb"/>
            <w:noWrap w:val="false"/>
          </w:tcPr>
          <w:p>
            <w:r>
              <w:t xml:space="preserve">Permanent Mission of Ukraine to the UN</w:t>
            </w:r>
            <w:r/>
          </w:p>
        </w:tc>
        <w:tc>
          <w:tcPr>
            <w:tcW w:w="3118" w:type="dxa"/>
            <w:textDirection w:val="lrTb"/>
            <w:noWrap w:val="false"/>
          </w:tcPr>
          <w:p>
            <w:r>
              <w:t xml:space="preserve">11</w:t>
            </w:r>
            <w:r/>
          </w:p>
        </w:tc>
      </w:tr>
      <w:tr>
        <w:trPr/>
        <w:tc>
          <w:tcPr>
            <w:tcW w:w="3118" w:type="dxa"/>
            <w:textDirection w:val="lrTb"/>
            <w:noWrap w:val="false"/>
          </w:tcPr>
          <w:p>
            <w:r>
              <w:t xml:space="preserve">Ukraine</w:t>
            </w:r>
            <w:r/>
          </w:p>
        </w:tc>
        <w:tc>
          <w:tcPr>
            <w:tcW w:w="3118" w:type="dxa"/>
            <w:textDirection w:val="lrTb"/>
            <w:noWrap w:val="false"/>
          </w:tcPr>
          <w:p>
            <w:r>
              <w:t xml:space="preserve">Official account of Ukraine</w:t>
            </w:r>
            <w:r/>
          </w:p>
        </w:tc>
        <w:tc>
          <w:tcPr>
            <w:tcW w:w="3118" w:type="dxa"/>
            <w:textDirection w:val="lrTb"/>
            <w:noWrap w:val="false"/>
          </w:tcPr>
          <w:p>
            <w:r>
              <w:t xml:space="preserve">3</w:t>
            </w:r>
            <w:r/>
          </w:p>
        </w:tc>
      </w:tr>
      <w:tr>
        <w:trPr/>
        <w:tc>
          <w:tcPr>
            <w:tcW w:w="3118" w:type="dxa"/>
            <w:textDirection w:val="lrTb"/>
            <w:noWrap w:val="false"/>
          </w:tcPr>
          <w:p>
            <w:r>
              <w:t xml:space="preserve">DefenceU</w:t>
            </w:r>
            <w:r/>
          </w:p>
        </w:tc>
        <w:tc>
          <w:tcPr>
            <w:tcW w:w="3118" w:type="dxa"/>
            <w:textDirection w:val="lrTb"/>
            <w:noWrap w:val="false"/>
          </w:tcPr>
          <w:p>
            <w:r>
              <w:t xml:space="preserve">Ministry of Defence of Ukraine</w:t>
            </w:r>
            <w:r/>
          </w:p>
        </w:tc>
        <w:tc>
          <w:tcPr>
            <w:tcW w:w="3118" w:type="dxa"/>
            <w:textDirection w:val="lrTb"/>
            <w:noWrap w:val="false"/>
          </w:tcPr>
          <w:p>
            <w:r>
              <w:t xml:space="preserve">226</w:t>
            </w:r>
            <w:r/>
          </w:p>
        </w:tc>
      </w:tr>
      <w:tr>
        <w:trPr/>
        <w:tc>
          <w:tcPr>
            <w:tcW w:w="3118" w:type="dxa"/>
            <w:textDirection w:val="lrTb"/>
            <w:noWrap w:val="false"/>
          </w:tcPr>
          <w:p>
            <w:r>
              <w:t xml:space="preserve">UKRintheUSA</w:t>
            </w:r>
            <w:r/>
          </w:p>
        </w:tc>
        <w:tc>
          <w:tcPr>
            <w:tcW w:w="3118" w:type="dxa"/>
            <w:textDirection w:val="lrTb"/>
            <w:noWrap w:val="false"/>
          </w:tcPr>
          <w:p>
            <w:r>
              <w:t xml:space="preserve">Ukrainian Embassy in the USA</w:t>
            </w:r>
            <w:r/>
          </w:p>
        </w:tc>
        <w:tc>
          <w:tcPr>
            <w:tcW w:w="3118" w:type="dxa"/>
            <w:textDirection w:val="lrTb"/>
            <w:noWrap w:val="false"/>
          </w:tcPr>
          <w:p>
            <w:r>
              <w:t xml:space="preserve">9</w:t>
            </w:r>
            <w:r/>
          </w:p>
        </w:tc>
      </w:tr>
      <w:tr>
        <w:trPr/>
        <w:tc>
          <w:tcPr>
            <w:tcW w:w="3118" w:type="dxa"/>
            <w:textDirection w:val="lrTb"/>
            <w:noWrap w:val="false"/>
          </w:tcPr>
          <w:p>
            <w:r>
              <w:t xml:space="preserve">DmytroKuleba</w:t>
            </w:r>
            <w:r/>
          </w:p>
        </w:tc>
        <w:tc>
          <w:tcPr>
            <w:tcW w:w="3118" w:type="dxa"/>
            <w:textDirection w:val="lrTb"/>
            <w:noWrap w:val="false"/>
          </w:tcPr>
          <w:p>
            <w:r>
              <w:t xml:space="preserve">Dmytro Kuleba, Minister of Foreign Affairs of Ukraine</w:t>
            </w:r>
            <w:r/>
          </w:p>
        </w:tc>
        <w:tc>
          <w:tcPr>
            <w:tcW w:w="3118" w:type="dxa"/>
            <w:textDirection w:val="lrTb"/>
            <w:noWrap w:val="false"/>
          </w:tcPr>
          <w:p>
            <w:r>
              <w:t xml:space="preserve">25</w:t>
            </w:r>
            <w:r/>
          </w:p>
        </w:tc>
      </w:tr>
      <w:tr>
        <w:trPr/>
        <w:tc>
          <w:tcPr>
            <w:tcW w:w="3118" w:type="dxa"/>
            <w:textDirection w:val="lrTb"/>
            <w:noWrap w:val="false"/>
          </w:tcPr>
          <w:p>
            <w:r>
              <w:t xml:space="preserve">oleksiireznikov</w:t>
            </w:r>
            <w:r/>
          </w:p>
        </w:tc>
        <w:tc>
          <w:tcPr>
            <w:tcW w:w="3118" w:type="dxa"/>
            <w:textDirection w:val="lrTb"/>
            <w:noWrap w:val="false"/>
          </w:tcPr>
          <w:p>
            <w:r>
              <w:t xml:space="preserve">Oleksii Reznikov, Minister of Defence of Ukraine</w:t>
            </w:r>
            <w:r/>
          </w:p>
        </w:tc>
        <w:tc>
          <w:tcPr>
            <w:tcW w:w="3118" w:type="dxa"/>
            <w:textDirection w:val="lrTb"/>
            <w:noWrap w:val="false"/>
          </w:tcPr>
          <w:p>
            <w:r>
              <w:t xml:space="preserve">59</w:t>
            </w:r>
            <w:r/>
          </w:p>
        </w:tc>
      </w:tr>
      <w:tr>
        <w:trPr/>
        <w:tc>
          <w:tcPr>
            <w:tcW w:w="3118" w:type="dxa"/>
            <w:textDirection w:val="lrTb"/>
            <w:noWrap w:val="false"/>
          </w:tcPr>
          <w:p>
            <w:r>
              <w:t xml:space="preserve">SergiyKyslytsya</w:t>
            </w:r>
            <w:r/>
          </w:p>
        </w:tc>
        <w:tc>
          <w:tcPr>
            <w:tcW w:w="3118" w:type="dxa"/>
            <w:textDirection w:val="lrTb"/>
            <w:noWrap w:val="false"/>
          </w:tcPr>
          <w:p>
            <w:r>
              <w:t xml:space="preserve">Sergiy Kyslystya, representative of Ukraine to the UN</w:t>
            </w:r>
            <w:r/>
          </w:p>
        </w:tc>
        <w:tc>
          <w:tcPr>
            <w:tcW w:w="3118" w:type="dxa"/>
            <w:textDirection w:val="lrTb"/>
            <w:noWrap w:val="false"/>
          </w:tcPr>
          <w:p>
            <w:r>
              <w:t xml:space="preserve">51</w:t>
            </w:r>
            <w:r/>
          </w:p>
        </w:tc>
      </w:tr>
      <w:tr>
        <w:trPr/>
        <w:tc>
          <w:tcPr>
            <w:tcW w:w="3118" w:type="dxa"/>
            <w:vMerge w:val="restart"/>
            <w:textDirection w:val="lrTb"/>
            <w:noWrap w:val="false"/>
          </w:tcPr>
          <w:p>
            <w:r>
              <w:t xml:space="preserve">Denys_Shmyhal</w:t>
            </w:r>
            <w:r/>
          </w:p>
        </w:tc>
        <w:tc>
          <w:tcPr>
            <w:tcW w:w="3118" w:type="dxa"/>
            <w:vMerge w:val="restart"/>
            <w:textDirection w:val="lrTb"/>
            <w:noWrap w:val="false"/>
          </w:tcPr>
          <w:p>
            <w:r>
              <w:t xml:space="preserve">Denys Shmyhal, Prime Minister of Ukraine</w:t>
            </w:r>
            <w:r/>
          </w:p>
        </w:tc>
        <w:tc>
          <w:tcPr>
            <w:tcW w:w="3118" w:type="dxa"/>
            <w:vMerge w:val="restart"/>
            <w:textDirection w:val="lrTb"/>
            <w:noWrap w:val="false"/>
          </w:tcPr>
          <w:p>
            <w:r>
              <w:t xml:space="preserve">37</w:t>
            </w:r>
            <w:r/>
          </w:p>
        </w:tc>
      </w:tr>
      <w:tr>
        <w:trPr/>
        <w:tc>
          <w:tcPr>
            <w:tcW w:w="3118" w:type="dxa"/>
            <w:vMerge w:val="restart"/>
            <w:textDirection w:val="lrTb"/>
            <w:noWrap w:val="false"/>
          </w:tcPr>
          <w:p>
            <w:r>
              <w:t xml:space="preserve">OlegNikolenko_</w:t>
            </w:r>
            <w:r/>
          </w:p>
        </w:tc>
        <w:tc>
          <w:tcPr>
            <w:tcW w:w="3118" w:type="dxa"/>
            <w:vMerge w:val="restart"/>
            <w:textDirection w:val="lrTb"/>
            <w:noWrap w:val="false"/>
          </w:tcPr>
          <w:p>
            <w:r>
              <w:t xml:space="preserve">Oleg Nikolenko, spokesperson for the Ukrainian MFA</w:t>
            </w:r>
            <w:r/>
          </w:p>
        </w:tc>
        <w:tc>
          <w:tcPr>
            <w:tcW w:w="3118" w:type="dxa"/>
            <w:vMerge w:val="restart"/>
            <w:textDirection w:val="lrTb"/>
            <w:noWrap w:val="false"/>
          </w:tcPr>
          <w:p>
            <w:r>
              <w:t xml:space="preserve">2</w:t>
            </w:r>
            <w:r/>
          </w:p>
        </w:tc>
      </w:tr>
      <w:tr>
        <w:trPr/>
        <w:tc>
          <w:tcPr>
            <w:tcW w:w="3118" w:type="dxa"/>
            <w:vMerge w:val="restart"/>
            <w:textDirection w:val="lrTb"/>
            <w:noWrap w:val="false"/>
          </w:tcPr>
          <w:p>
            <w:r>
              <w:t xml:space="preserve">EmineDzheppar</w:t>
            </w:r>
            <w:r/>
          </w:p>
        </w:tc>
        <w:tc>
          <w:tcPr>
            <w:tcW w:w="3118" w:type="dxa"/>
            <w:vMerge w:val="restart"/>
            <w:textDirection w:val="lrTb"/>
            <w:noWrap w:val="false"/>
          </w:tcPr>
          <w:p>
            <w:r>
              <w:t xml:space="preserve">Emine Dzheppar, First Deputy Minister of Foreign Affairs of Ukraine</w:t>
            </w:r>
            <w:r/>
          </w:p>
        </w:tc>
        <w:tc>
          <w:tcPr>
            <w:tcW w:w="3118" w:type="dxa"/>
            <w:vMerge w:val="restart"/>
            <w:textDirection w:val="lrTb"/>
            <w:noWrap w:val="false"/>
          </w:tcPr>
          <w:p>
            <w:r>
              <w:t xml:space="preserve">108</w:t>
            </w:r>
            <w:r/>
          </w:p>
        </w:tc>
      </w:tr>
      <w:tr>
        <w:trPr/>
        <w:tc>
          <w:tcPr>
            <w:tcW w:w="3118" w:type="dxa"/>
            <w:vMerge w:val="restart"/>
            <w:textDirection w:val="lrTb"/>
            <w:noWrap w:val="false"/>
          </w:tcPr>
          <w:p>
            <w:r>
              <w:t xml:space="preserve">ZelenskyyUa</w:t>
            </w:r>
            <w:r/>
          </w:p>
        </w:tc>
        <w:tc>
          <w:tcPr>
            <w:tcW w:w="3118" w:type="dxa"/>
            <w:vMerge w:val="restart"/>
            <w:textDirection w:val="lrTb"/>
            <w:noWrap w:val="false"/>
          </w:tcPr>
          <w:p>
            <w:r>
              <w:t xml:space="preserve">Volodymyr Zelenskyy, president of Ukraine</w:t>
            </w:r>
            <w:r/>
          </w:p>
        </w:tc>
        <w:tc>
          <w:tcPr>
            <w:tcW w:w="3118" w:type="dxa"/>
            <w:vMerge w:val="restart"/>
            <w:textDirection w:val="lrTb"/>
            <w:noWrap w:val="false"/>
          </w:tcPr>
          <w:p>
            <w:r>
              <w:t xml:space="preserve">6</w:t>
            </w:r>
            <w:r/>
          </w:p>
        </w:tc>
      </w:tr>
      <w:tr>
        <w:trPr/>
        <w:tc>
          <w:tcPr>
            <w:tcW w:w="3118" w:type="dxa"/>
            <w:vMerge w:val="restart"/>
            <w:textDirection w:val="lrTb"/>
            <w:noWrap w:val="false"/>
          </w:tcPr>
          <w:p>
            <w:r>
              <w:rPr>
                <w:b/>
                <w:bCs/>
              </w:rPr>
              <w:t xml:space="preserve">Total</w:t>
            </w:r>
            <w:r/>
          </w:p>
        </w:tc>
        <w:tc>
          <w:tcPr>
            <w:tcW w:w="3118" w:type="dxa"/>
            <w:vMerge w:val="restart"/>
            <w:textDirection w:val="lrTb"/>
            <w:noWrap w:val="false"/>
          </w:tcPr>
          <w:p>
            <w:r/>
            <w:r/>
          </w:p>
        </w:tc>
        <w:tc>
          <w:tcPr>
            <w:tcW w:w="3118" w:type="dxa"/>
            <w:vMerge w:val="restart"/>
            <w:textDirection w:val="lrTb"/>
            <w:noWrap w:val="false"/>
          </w:tcPr>
          <w:p>
            <w:r>
              <w:t xml:space="preserve">642</w:t>
            </w:r>
            <w:r/>
          </w:p>
        </w:tc>
      </w:tr>
    </w:tbl>
    <w:p>
      <w:pPr>
        <w:pStyle w:val="680"/>
      </w:pPr>
      <w:r>
        <w:t xml:space="preserve">Table </w:t>
      </w:r>
      <w:r>
        <w:fldChar w:fldCharType="begin"/>
        <w:instrText xml:space="preserve"> SEQ Table \* Arabic </w:instrText>
        <w:fldChar w:fldCharType="separate"/>
      </w:r>
      <w:r>
        <w:t xml:space="preserve">2</w:t>
      </w:r>
      <w:r/>
      <w:r>
        <w:fldChar w:fldCharType="end"/>
      </w:r>
      <w:r>
        <w:t xml:space="preserve">: List of Ukrainian accounts, their description, and number of tweets in the dataset. </w:t>
      </w:r>
      <w:r/>
    </w:p>
    <w:p>
      <w:r/>
      <w:r/>
    </w:p>
    <w:p>
      <w:pPr>
        <w:pStyle w:val="656"/>
        <w:rPr>
          <w14:ligatures w14:val="none"/>
        </w:rPr>
      </w:pPr>
      <w:r>
        <w:rPr>
          <w:highlight w:val="none"/>
        </w:rPr>
        <w:t xml:space="preserve">Annotation process</w:t>
      </w:r>
      <w:r>
        <w:rPr>
          <w14:ligatures w14:val="none"/>
        </w:rPr>
      </w:r>
    </w:p>
    <w:p>
      <w:pPr>
        <w:rPr>
          <w:bCs w:val="0"/>
          <w:i w:val="0"/>
        </w:rPr>
      </w:pPr>
      <w:r>
        <w:t xml:space="preserve">The annotation was done using Label Studio, a Python library </w:t>
      </w:r>
      <w:r>
        <w:fldChar w:fldCharType="begin"/>
        <w:instrText xml:space="preserve"> ADDIN ZOTERO_CITATION {"citationItems":[{"id":"JT3L9K9N","type":"article","title":"Label Studio: Data labeling software","URL":"https://github.com/heartexlabs/label-studio","author":[{"family":"Tkachenko","given":"Maxim"},{"family":"Malyuk","given":"Mikhail"},{"family":"Holmanyuk","given":"Andrey"},{"family":"Liubimov","given":"Nikolai"}],"issued":{"date-parts":[[2020]]},"userID":"10209564","index":23}]} </w:instrText>
        <w:fldChar w:fldCharType="separate"/>
      </w:r>
      <w:r>
        <w:t xml:space="preserve">(Tkachenko et al., 2020)</w:t>
      </w:r>
      <w:r>
        <w:fldChar w:fldCharType="end"/>
      </w:r>
      <w:r>
        <w:t xml:space="preserve">. The annotator was shown an image accompanied by text, and had to select the propaganda techniques they found in both the image and text. The process can be seen in </w:t>
      </w:r>
      <w:r>
        <w:rPr>
          <w:highlight w:val="yellow"/>
        </w:rPr>
        <w:t xml:space="preserve">Figure X.</w:t>
      </w:r>
      <w:r>
        <w:t xml:space="preserve"> Unlike annotations in similar previous research </w:t>
      </w:r>
      <w:r>
        <w:fldChar w:fldCharType="begin"/>
        <w:instrText xml:space="preserve"> ADDIN ZOTERO_CITATION {"citationItems":[{"id":"MH2GFKDU","type":"article","title":"Detecting Propaganda Techniques in Memes","publisher":"arXiv","abstract":"Propaganda can be deﬁned as a form of communication that aims to inﬂuence the opinions or the actions of people towards a speciﬁc goal; this is achieved by means of well-deﬁned rhetorical and psychological devices. Propaganda, in the form we know it today, can be dated back to the beginning of the 17th century. However, it is with the advent of the Internet and the social media that it has started to spread on a much larger scale than before, thus becoming major societal and political issue. Nowadays, a large fraction of propaganda in social media is multimodal, mixing textual with visual content. With this in mind, here we propose a new multi-label multimodal task: detecting the type of propaganda techniques used in memes. We further create and release a new corpus of 950 memes, carefully annotated with 22 propaganda techniques, which can appear in the text, in the image, or in both. Our analysis of the corpus shows that understanding both modalities together is essential for detecting these techniques. This is further conﬁrmed in our experiments with several state-of-the-art multimodal models.","URL":"http://arxiv.org/abs/2109.08013","note":"arXiv:2109.08013 [cs]","number":"arXiv:2109.08013","language":"en","author":[{"family":"Dimitrov","given":"Dimitar"},{"family":"Ali","given":"Bishr Bin"},{"family":"Shaar","given":"Shaden"},{"family":"Alam","given":"Firoj"},{"family":"Silvestri","given":"Fabrizio"},{"family":"Firooz","given":"Hamed"},{"family":"Nakov","given":"Preslav"},{"family":"Martino","given":"Giovanni Da San"}],"issued":{"date-parts":[[2021,8,7]]},"accessed":{"date-parts":[[2022,10,28]]},"userID":"10209564","index":19}]} </w:instrText>
        <w:fldChar w:fldCharType="separate"/>
      </w:r>
      <w:r>
        <w:t xml:space="preserve">(Dimitrov et al., 2021)</w:t>
      </w:r>
      <w:r>
        <w:fldChar w:fldCharType="end"/>
      </w:r>
      <w:r>
        <w:t xml:space="preserve">, the process was not iterated. Instead, the following approach was used. First, the relevancy of a datapoint was evaluated. If the tweet was found to be irrelevant to the Russo-Ukrainian war, it was labeled as </w:t>
      </w:r>
      <w:r>
        <w:rPr>
          <w:i/>
          <w:iCs/>
        </w:rPr>
        <w:t xml:space="preserve">irrelevant</w:t>
      </w:r>
      <w:r>
        <w:rPr>
          <w:i w:val="0"/>
          <w:iCs w:val="0"/>
        </w:rPr>
        <w:t xml:space="preserve">; no further labels were given, and the tweet was considered annotated. If the tweet was relevant, the labels found applicable to the image and text combination were chosen. The annotator did not have to select a particular section of the text for a label – while this has been done before </w:t>
      </w:r>
      <w:r>
        <w:fldChar w:fldCharType="begin"/>
        <w:instrText xml:space="preserve"> ADDIN ZOTERO_CITATION {"citationItems":[{"id":"JIMXKB7J","type":"article","title":"Fine-Grained Analysis of Propaganda in News Articles","publisher":"arXiv","abstract":"Propaganda aims at inﬂuencing people’s mindset with the purpose of advancing a speciﬁc agenda. Previous work has addressed propaganda detection at the document level, typically labelling all articles from a propagandistic news outlet as propaganda. Such noisy gold labels inevitably affect the quality of any learning system trained on them. A further issue with most existing systems is the lack of explainability. To overcome these limitations, we propose a novel task: performing ﬁne-grained analysis of texts by detecting all fragments that contain propaganda techniques as well as their type. In particular, we create a corpus of news articles manually annotated at the fragment level with eighteen propaganda techniques and we propose a suitable evaluation measure. We further design a novel multi-granularity neural network, and we show that it outperforms several strong BERT-based baselines.","URL":"http://arxiv.org/abs/1910.02517","note":"arXiv:1910.02517 [cs]","number":"arXiv:1910.02517","language":"en","author":[{"family":"Martino","given":"Giovanni Da San"},{"family":"Yu","given":"Seunghak"},{"family":"Barrón-Cedeño","given":"Alberto"},{"family":"Petrov","given":"Rostislav"},{"family":"Nakov","given":"Preslav"}],"issued":{"date-parts":[[2019,10,6]]},"accessed":{"date-parts":[[2023,3,1]]},"userID":"10209564","index":17}]} </w:instrText>
        <w:fldChar w:fldCharType="separate"/>
      </w:r>
      <w:r/>
      <w:r>
        <w:t xml:space="preserve">(Martino et al., 2019)</w:t>
      </w:r>
      <w:r>
        <w:fldChar w:fldCharType="end"/>
      </w:r>
      <w:r>
        <w:rPr>
          <w:i w:val="0"/>
          <w:iCs w:val="0"/>
        </w:rPr>
        <w:t xml:space="preserve">, it ultimately provides data that was not found to be relevant to this thesis. </w:t>
      </w:r>
      <w:r>
        <w:rPr>
          <w:i w:val="0"/>
          <w:iCs w:val="0"/>
        </w:rPr>
        <w:t xml:space="preserve">Ideally, the text and images would be labeled separately, and the techniques found in them would be consolidated into a final label, as this allows for a clearer consideration of the propaganda techniques used; however, this was not done due to the aforementioned time concerns. </w:t>
      </w:r>
      <w:r>
        <w:t xml:space="preserve">While initially the tweets were presented in a random uniform fashion, some time into the annotation process a choice was made to instead label them in descending order by date </w:t>
      </w:r>
      <w:r>
        <w:rPr>
          <w:highlight w:val="yellow"/>
        </w:rPr>
        <w:t xml:space="preserve">[why?]</w:t>
      </w:r>
      <w:r>
        <w:t xml:space="preserve">. Due to this, the final dataset consists of a number of tweets between June 1st and December 16th of 2022, as well as all of the tweets found in the raw dataset from December 17th onwards.</w:t>
      </w:r>
      <w:r>
        <w:rPr>
          <w:bCs w:val="0"/>
          <w:i w:val="0"/>
        </w:rPr>
      </w:r>
    </w:p>
    <w:p>
      <w:pPr>
        <w:rPr>
          <w:bCs w:val="0"/>
          <w:i w:val="0"/>
          <w:highlight w:val="none"/>
        </w:rPr>
      </w:pPr>
      <w:r>
        <w:rPr>
          <w:i w:val="0"/>
          <w:iCs w:val="0"/>
          <w:highlight w:val="none"/>
        </w:rPr>
        <w:t xml:space="preserve">The annotation was done by a single person, the author of this thesis. Due to the sensitive and subjective nature of propaganda, this is not ideal; care should be taken when evaluating the annotated dataset, as there are inevitable biases in the labels and their distribution. However, no other arrangement could be found, and this is a limitation of the research that should be kept in mind during the analysis.</w:t>
      </w:r>
      <w:r>
        <w:rPr>
          <w:i w:val="0"/>
          <w:iCs w:val="0"/>
          <w:highlight w:val="none"/>
        </w:rPr>
      </w:r>
    </w:p>
    <w:p>
      <w:pPr>
        <w:rPr>
          <w:bCs w:val="0"/>
          <w:i w:val="0"/>
          <w:highlight w:val="yellow"/>
        </w:rPr>
      </w:pPr>
      <w:r>
        <w:rPr>
          <w:i w:val="0"/>
          <w:iCs w:val="0"/>
          <w:highlight w:val="yellow"/>
        </w:rPr>
        <w:t xml:space="preserve">[paragraph on irrelevant data difficulties]</w:t>
      </w:r>
      <w:r>
        <w:rPr>
          <w:i w:val="0"/>
          <w:iCs w:val="0"/>
          <w:highlight w:val="yellow"/>
        </w:rPr>
      </w:r>
    </w:p>
    <w:p>
      <w:pPr>
        <w:pStyle w:val="650"/>
      </w:pPr>
      <w:r>
        <w:rPr>
          <w:bCs w:val="0"/>
          <w:i w:val="0"/>
          <w:highlight w:val="none"/>
        </w:rPr>
        <w:t xml:space="preserve">References</w:t>
      </w:r>
      <w:r/>
    </w:p>
    <w:p>
      <w:r>
        <w:fldChar w:fldCharType="begin"/>
        <w:instrText xml:space="preserve"> ADDIN ZOTERO_BIBLIOGRAPHY </w:instrText>
        <w:fldChar w:fldCharType="separate"/>
      </w:r>
      <w:r/>
      <w:r>
        <w:t xml:space="preserve">  Abd Kadir, S., &amp; Abu Hasan, A. S. (2014). A content analysis of propaganda in Harakah newspaper. Journal of Media and Information Warfare (JMIW), 5, 73–116.</w:t>
        <w:br/>
        <w:t xml:space="preserve">,  Bondarenko, I. (2020). Tools of Explicit Propaganda: Cognitive Underpinnings. Open Journal of Modern Linguistics, 10(01), 23–48. https://doi.org/10.4236/ojml.2020.101003</w:t>
        <w:br/>
        <w:t xml:space="preserve">,  Cikara, M., Bruneau, E. G., &amp; Saxe, R. R. (2011). Us and Them: Intergroup Failures of Empathy. Current Directions in Psychological Science, 20(3), 149–153. https://doi.org/10.1177/0963721411408713</w:t>
        <w:br/>
        <w:t xml:space="preserve">,  Clayton, J. (2022, April 5). Twitter moves to limit Russian government accounts. BBC News. https://www.bbc.com/news/technology-60992373</w:t>
        <w:br/>
        <w:t xml:space="preserve">,  Dimitrov, D., Ali, B. B., Shaar, S., Alam, F., Silvestri, F., Firooz, H., Nakov, P., &amp; Martino, G. D. S. (2021). Detecting Propaganda Techniques in Memes (arXiv:2109.08013). arXiv. http://arxiv.org/abs/2109.08013</w:t>
        <w:br/>
        <w:t xml:space="preserve">,  Dowe, T. (1997). News You Can Abuse. Wired. https://www.wired.com/1997/01/netizen-6/</w:t>
        <w:br/>
        <w:t xml:space="preserve">,  El-Khalili, S. (2013). Social media as a government propaganda tool in post-revolutionary Egypt. First Monday.</w:t>
        <w:br/>
        <w:t xml:space="preserve">,  Forgas, J. P., &amp; Koch, A. S. (2013). Mood effects on cognition. In Handbook of cognition and emotion (pp. 231–251). The Guilford Press.</w:t>
        <w:br/>
        <w:t xml:space="preserve">,  Gerber, T. P., &amp; Zavisca, J. (2016). Does Russian Propaganda Work? The Washington Quarterly, 39(2), 79–98. https://doi.org/10.1080/0163660X.2016.1204398</w:t>
        <w:br/>
        <w:t xml:space="preserve">,  Helmus, T. C., Bodine-Baron, E., Radin, A., Magnuson, M., Mendelsohn, J., Marcellino, W., Bega, A., &amp; Winkelman, Z. (2018). Russian social media influence: Understanding Russian propaganda in Eastern Europe. Rand Corporation.</w:t>
        <w:br/>
        <w:t xml:space="preserve">,  Jowett, G. S., &amp; O’Donnell, V. (2011). Propaganda &amp; Persuasion. SAGE Publications.</w:t>
        <w:br/>
        <w:t xml:space="preserve">,  Laskin, A. V. (2019). Defining propaganda: A psychoanalytic perspective. Communication and the Public, 4(4), 305–314.</w:t>
        <w:br/>
        <w:t xml:space="preserve">,  Lee, A., &amp; Lee, E. B. (1939). The fine art of propaganda.</w:t>
        <w:br/>
        <w:t xml:space="preserve">,  Martino, G. D. S., Yu, S., Barrón-Cedeño, A., Petrov, R., &amp; Nakov, P. (2019). Fine-Grained Analysis of Propaganda in News Articles (arXiv:1910.02517). arXiv. http://arxiv.org/abs/1910.02517</w:t>
        <w:br/>
        <w:t xml:space="preserve">,  McCrann, G.-E. (2009). Government wartime propaganda posters: Communicators of public policy. Behavioral &amp; Social Sciences Librarian, 28(1–2), 53–73.</w:t>
        <w:br/>
        <w:t xml:space="preserve">,  Naguib, R. (2011, December 30). A year in review: The SCAF rules in 93 letters. Egypt Independent. https://www.egyptindependent.com/year-review-scaf-rules-93-letters/</w:t>
        <w:br/>
        <w:t xml:space="preserve">,  Summers, E., Brigadir, I., Hames, S., Kemenade, H. van, Binkley, P., tinafigueroa, Ruest, N., Walmir, Chudnov, D., Thiel, D., Betsy, Chartier, R., celeste, Lin, H., Alice, Chosak, A., Lenz, M., McCain, R. M., Milligan, I., … Elwert, F. (2023). DocNow/twarc: v2.14.0. Zenodo. https://doi.org/10.5281/zenodo.7799050</w:t>
        <w:br/>
        <w:t xml:space="preserve">,  Tidy, J., &amp; Clayton, J. (2022, February 25). Ukraine invasion: Russia restricts social media access. BBC News. https://www.bbc.com/news/technology-60533083</w:t>
        <w:br/>
        <w:t xml:space="preserve">,  Tkachenko, M., Malyuk, M., Holmanyuk, A., &amp; Liubimov, N. (2020). Label Studio: Data labeling software. https://github.com/heartexlabs/label-studio</w:t>
        <w:br/>
        <w:t xml:space="preserve">,  Tomasello, M. (1995). Joint attention as social cognition. Joint Attention: Its Origins and Role in Development, 103130, 103–130.</w:t>
        <w:br/>
        <w:t xml:space="preserve">,  Van Vugt, M., &amp; Hart, C. M. (2004). Social Identity as Social Glue: The Origins of Group Loyalty. Journal of Personality and Social Psychology, 86(4), 585–598. https://doi.org/10.1037/0022-3514.86.4.585</w:t>
        <w:br/>
        <w:t xml:space="preserve">,  Walker, M., &amp; Matsa, K. E. (2021, September 20). News Consumption Across Social Media in 2021. Pew Research Center’s Journalism Project. https://www.pewresearch.org/journalism/2021/09/20/news-consumption-across-social-media-in-2021/</w:t>
        <w:br/>
        <w:t xml:space="preserve">,  Weston, A. (2018). A rulebook for arguments. Hackett Publishing.</w:t>
        <w:br/>
      </w:r>
      <w:r>
        <w:fldChar w:fldCharType="end"/>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0">
    <w:name w:val="Heading 1"/>
    <w:basedOn w:val="826"/>
    <w:next w:val="826"/>
    <w:link w:val="651"/>
    <w:uiPriority w:val="9"/>
    <w:qFormat/>
    <w:pPr>
      <w:keepLines/>
      <w:keepNext/>
      <w:spacing w:before="480" w:after="200"/>
      <w:outlineLvl w:val="0"/>
    </w:pPr>
    <w:rPr>
      <w:rFonts w:ascii="Arial" w:hAnsi="Arial" w:eastAsia="Arial" w:cs="Arial"/>
      <w:sz w:val="40"/>
      <w:szCs w:val="40"/>
    </w:rPr>
  </w:style>
  <w:style w:type="character" w:styleId="651">
    <w:name w:val="Heading 1 Char"/>
    <w:link w:val="650"/>
    <w:uiPriority w:val="9"/>
    <w:rPr>
      <w:rFonts w:ascii="Arial" w:hAnsi="Arial" w:eastAsia="Arial" w:cs="Arial"/>
      <w:sz w:val="40"/>
      <w:szCs w:val="40"/>
    </w:rPr>
  </w:style>
  <w:style w:type="paragraph" w:styleId="652">
    <w:name w:val="Heading 2"/>
    <w:basedOn w:val="826"/>
    <w:next w:val="826"/>
    <w:link w:val="653"/>
    <w:uiPriority w:val="9"/>
    <w:unhideWhenUsed/>
    <w:qFormat/>
    <w:pPr>
      <w:keepLines/>
      <w:keepNext/>
      <w:spacing w:before="360" w:after="200"/>
      <w:outlineLvl w:val="1"/>
    </w:pPr>
    <w:rPr>
      <w:rFonts w:ascii="Arial" w:hAnsi="Arial" w:eastAsia="Arial" w:cs="Arial"/>
      <w:sz w:val="34"/>
    </w:rPr>
  </w:style>
  <w:style w:type="character" w:styleId="653">
    <w:name w:val="Heading 2 Char"/>
    <w:link w:val="652"/>
    <w:uiPriority w:val="9"/>
    <w:rPr>
      <w:rFonts w:ascii="Arial" w:hAnsi="Arial" w:eastAsia="Arial" w:cs="Arial"/>
      <w:sz w:val="34"/>
    </w:rPr>
  </w:style>
  <w:style w:type="paragraph" w:styleId="654">
    <w:name w:val="Heading 3"/>
    <w:basedOn w:val="826"/>
    <w:next w:val="826"/>
    <w:link w:val="655"/>
    <w:uiPriority w:val="9"/>
    <w:unhideWhenUsed/>
    <w:qFormat/>
    <w:pPr>
      <w:keepLines/>
      <w:keepNext/>
      <w:spacing w:before="320" w:after="200"/>
      <w:outlineLvl w:val="2"/>
    </w:pPr>
    <w:rPr>
      <w:rFonts w:ascii="Arial" w:hAnsi="Arial" w:eastAsia="Arial" w:cs="Arial"/>
      <w:sz w:val="30"/>
      <w:szCs w:val="30"/>
    </w:rPr>
  </w:style>
  <w:style w:type="character" w:styleId="655">
    <w:name w:val="Heading 3 Char"/>
    <w:link w:val="654"/>
    <w:uiPriority w:val="9"/>
    <w:rPr>
      <w:rFonts w:ascii="Arial" w:hAnsi="Arial" w:eastAsia="Arial" w:cs="Arial"/>
      <w:sz w:val="30"/>
      <w:szCs w:val="30"/>
    </w:rPr>
  </w:style>
  <w:style w:type="paragraph" w:styleId="656">
    <w:name w:val="Heading 4"/>
    <w:basedOn w:val="826"/>
    <w:next w:val="826"/>
    <w:link w:val="657"/>
    <w:uiPriority w:val="9"/>
    <w:unhideWhenUsed/>
    <w:qFormat/>
    <w:pPr>
      <w:keepLines/>
      <w:keepNext/>
      <w:spacing w:before="320" w:after="200"/>
      <w:outlineLvl w:val="3"/>
    </w:pPr>
    <w:rPr>
      <w:rFonts w:ascii="Arial" w:hAnsi="Arial" w:eastAsia="Arial" w:cs="Arial"/>
      <w:b/>
      <w:bCs/>
      <w:sz w:val="26"/>
      <w:szCs w:val="26"/>
    </w:rPr>
  </w:style>
  <w:style w:type="character" w:styleId="657">
    <w:name w:val="Heading 4 Char"/>
    <w:link w:val="656"/>
    <w:uiPriority w:val="9"/>
    <w:rPr>
      <w:rFonts w:ascii="Arial" w:hAnsi="Arial" w:eastAsia="Arial" w:cs="Arial"/>
      <w:b/>
      <w:bCs/>
      <w:sz w:val="26"/>
      <w:szCs w:val="26"/>
    </w:rPr>
  </w:style>
  <w:style w:type="paragraph" w:styleId="658">
    <w:name w:val="Heading 5"/>
    <w:basedOn w:val="826"/>
    <w:next w:val="826"/>
    <w:link w:val="659"/>
    <w:uiPriority w:val="9"/>
    <w:unhideWhenUsed/>
    <w:qFormat/>
    <w:pPr>
      <w:keepLines/>
      <w:keepNext/>
      <w:spacing w:before="320" w:after="200"/>
      <w:outlineLvl w:val="4"/>
    </w:pPr>
    <w:rPr>
      <w:rFonts w:ascii="Arial" w:hAnsi="Arial" w:eastAsia="Arial" w:cs="Arial"/>
      <w:b/>
      <w:bCs/>
      <w:sz w:val="24"/>
      <w:szCs w:val="24"/>
    </w:rPr>
  </w:style>
  <w:style w:type="character" w:styleId="659">
    <w:name w:val="Heading 5 Char"/>
    <w:link w:val="658"/>
    <w:uiPriority w:val="9"/>
    <w:rPr>
      <w:rFonts w:ascii="Arial" w:hAnsi="Arial" w:eastAsia="Arial" w:cs="Arial"/>
      <w:b/>
      <w:bCs/>
      <w:sz w:val="24"/>
      <w:szCs w:val="24"/>
    </w:rPr>
  </w:style>
  <w:style w:type="paragraph" w:styleId="660">
    <w:name w:val="Heading 6"/>
    <w:basedOn w:val="826"/>
    <w:next w:val="826"/>
    <w:link w:val="661"/>
    <w:uiPriority w:val="9"/>
    <w:unhideWhenUsed/>
    <w:qFormat/>
    <w:pPr>
      <w:keepLines/>
      <w:keepNext/>
      <w:spacing w:before="320" w:after="200"/>
      <w:outlineLvl w:val="5"/>
    </w:pPr>
    <w:rPr>
      <w:rFonts w:ascii="Arial" w:hAnsi="Arial" w:eastAsia="Arial" w:cs="Arial"/>
      <w:b/>
      <w:bCs/>
      <w:sz w:val="22"/>
      <w:szCs w:val="22"/>
    </w:rPr>
  </w:style>
  <w:style w:type="character" w:styleId="661">
    <w:name w:val="Heading 6 Char"/>
    <w:link w:val="660"/>
    <w:uiPriority w:val="9"/>
    <w:rPr>
      <w:rFonts w:ascii="Arial" w:hAnsi="Arial" w:eastAsia="Arial" w:cs="Arial"/>
      <w:b/>
      <w:bCs/>
      <w:sz w:val="22"/>
      <w:szCs w:val="22"/>
    </w:rPr>
  </w:style>
  <w:style w:type="paragraph" w:styleId="662">
    <w:name w:val="Heading 7"/>
    <w:basedOn w:val="826"/>
    <w:next w:val="826"/>
    <w:link w:val="663"/>
    <w:uiPriority w:val="9"/>
    <w:unhideWhenUsed/>
    <w:qFormat/>
    <w:pPr>
      <w:keepLines/>
      <w:keepNext/>
      <w:spacing w:before="320" w:after="200"/>
      <w:outlineLvl w:val="6"/>
    </w:pPr>
    <w:rPr>
      <w:rFonts w:ascii="Arial" w:hAnsi="Arial" w:eastAsia="Arial" w:cs="Arial"/>
      <w:b/>
      <w:bCs/>
      <w:i/>
      <w:iCs/>
      <w:sz w:val="22"/>
      <w:szCs w:val="22"/>
    </w:rPr>
  </w:style>
  <w:style w:type="character" w:styleId="663">
    <w:name w:val="Heading 7 Char"/>
    <w:link w:val="662"/>
    <w:uiPriority w:val="9"/>
    <w:rPr>
      <w:rFonts w:ascii="Arial" w:hAnsi="Arial" w:eastAsia="Arial" w:cs="Arial"/>
      <w:b/>
      <w:bCs/>
      <w:i/>
      <w:iCs/>
      <w:sz w:val="22"/>
      <w:szCs w:val="22"/>
    </w:rPr>
  </w:style>
  <w:style w:type="paragraph" w:styleId="664">
    <w:name w:val="Heading 8"/>
    <w:basedOn w:val="826"/>
    <w:next w:val="826"/>
    <w:link w:val="665"/>
    <w:uiPriority w:val="9"/>
    <w:unhideWhenUsed/>
    <w:qFormat/>
    <w:pPr>
      <w:keepLines/>
      <w:keepNext/>
      <w:spacing w:before="320" w:after="200"/>
      <w:outlineLvl w:val="7"/>
    </w:pPr>
    <w:rPr>
      <w:rFonts w:ascii="Arial" w:hAnsi="Arial" w:eastAsia="Arial" w:cs="Arial"/>
      <w:i/>
      <w:iCs/>
      <w:sz w:val="22"/>
      <w:szCs w:val="22"/>
    </w:rPr>
  </w:style>
  <w:style w:type="character" w:styleId="665">
    <w:name w:val="Heading 8 Char"/>
    <w:link w:val="664"/>
    <w:uiPriority w:val="9"/>
    <w:rPr>
      <w:rFonts w:ascii="Arial" w:hAnsi="Arial" w:eastAsia="Arial" w:cs="Arial"/>
      <w:i/>
      <w:iCs/>
      <w:sz w:val="22"/>
      <w:szCs w:val="22"/>
    </w:rPr>
  </w:style>
  <w:style w:type="paragraph" w:styleId="666">
    <w:name w:val="Heading 9"/>
    <w:basedOn w:val="826"/>
    <w:next w:val="826"/>
    <w:link w:val="667"/>
    <w:uiPriority w:val="9"/>
    <w:unhideWhenUsed/>
    <w:qFormat/>
    <w:pPr>
      <w:keepLines/>
      <w:keepNext/>
      <w:spacing w:before="320" w:after="200"/>
      <w:outlineLvl w:val="8"/>
    </w:pPr>
    <w:rPr>
      <w:rFonts w:ascii="Arial" w:hAnsi="Arial" w:eastAsia="Arial" w:cs="Arial"/>
      <w:i/>
      <w:iCs/>
      <w:sz w:val="21"/>
      <w:szCs w:val="21"/>
    </w:rPr>
  </w:style>
  <w:style w:type="character" w:styleId="667">
    <w:name w:val="Heading 9 Char"/>
    <w:link w:val="666"/>
    <w:uiPriority w:val="9"/>
    <w:rPr>
      <w:rFonts w:ascii="Arial" w:hAnsi="Arial" w:eastAsia="Arial" w:cs="Arial"/>
      <w:i/>
      <w:iCs/>
      <w:sz w:val="21"/>
      <w:szCs w:val="21"/>
    </w:rPr>
  </w:style>
  <w:style w:type="paragraph" w:styleId="668">
    <w:name w:val="Title"/>
    <w:basedOn w:val="826"/>
    <w:next w:val="826"/>
    <w:link w:val="669"/>
    <w:uiPriority w:val="10"/>
    <w:qFormat/>
    <w:pPr>
      <w:contextualSpacing/>
      <w:spacing w:before="300" w:after="200"/>
    </w:pPr>
    <w:rPr>
      <w:sz w:val="48"/>
      <w:szCs w:val="48"/>
    </w:rPr>
  </w:style>
  <w:style w:type="character" w:styleId="669">
    <w:name w:val="Title Char"/>
    <w:link w:val="668"/>
    <w:uiPriority w:val="10"/>
    <w:rPr>
      <w:sz w:val="48"/>
      <w:szCs w:val="48"/>
    </w:rPr>
  </w:style>
  <w:style w:type="paragraph" w:styleId="670">
    <w:name w:val="Subtitle"/>
    <w:basedOn w:val="826"/>
    <w:next w:val="826"/>
    <w:link w:val="671"/>
    <w:uiPriority w:val="11"/>
    <w:qFormat/>
    <w:pPr>
      <w:spacing w:before="200" w:after="200"/>
    </w:pPr>
    <w:rPr>
      <w:sz w:val="24"/>
      <w:szCs w:val="24"/>
    </w:rPr>
  </w:style>
  <w:style w:type="character" w:styleId="671">
    <w:name w:val="Subtitle Char"/>
    <w:link w:val="670"/>
    <w:uiPriority w:val="11"/>
    <w:rPr>
      <w:sz w:val="24"/>
      <w:szCs w:val="24"/>
    </w:rPr>
  </w:style>
  <w:style w:type="paragraph" w:styleId="672">
    <w:name w:val="Quote"/>
    <w:basedOn w:val="826"/>
    <w:next w:val="826"/>
    <w:link w:val="673"/>
    <w:uiPriority w:val="29"/>
    <w:qFormat/>
    <w:pPr>
      <w:ind w:left="720" w:right="720"/>
    </w:pPr>
    <w:rPr>
      <w:i/>
    </w:rPr>
  </w:style>
  <w:style w:type="character" w:styleId="673">
    <w:name w:val="Quote Char"/>
    <w:link w:val="672"/>
    <w:uiPriority w:val="29"/>
    <w:rPr>
      <w:i/>
    </w:rPr>
  </w:style>
  <w:style w:type="paragraph" w:styleId="674">
    <w:name w:val="Intense Quote"/>
    <w:basedOn w:val="826"/>
    <w:next w:val="826"/>
    <w:link w:val="6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5">
    <w:name w:val="Intense Quote Char"/>
    <w:link w:val="674"/>
    <w:uiPriority w:val="30"/>
    <w:rPr>
      <w:i/>
    </w:rPr>
  </w:style>
  <w:style w:type="paragraph" w:styleId="676">
    <w:name w:val="Header"/>
    <w:basedOn w:val="826"/>
    <w:link w:val="677"/>
    <w:uiPriority w:val="99"/>
    <w:unhideWhenUsed/>
    <w:pPr>
      <w:spacing w:after="0" w:line="240" w:lineRule="auto"/>
      <w:tabs>
        <w:tab w:val="center" w:pos="7143" w:leader="none"/>
        <w:tab w:val="right" w:pos="14287" w:leader="none"/>
      </w:tabs>
    </w:pPr>
  </w:style>
  <w:style w:type="character" w:styleId="677">
    <w:name w:val="Header Char"/>
    <w:link w:val="676"/>
    <w:uiPriority w:val="99"/>
  </w:style>
  <w:style w:type="paragraph" w:styleId="678">
    <w:name w:val="Footer"/>
    <w:basedOn w:val="826"/>
    <w:link w:val="681"/>
    <w:uiPriority w:val="99"/>
    <w:unhideWhenUsed/>
    <w:pPr>
      <w:spacing w:after="0" w:line="240" w:lineRule="auto"/>
      <w:tabs>
        <w:tab w:val="center" w:pos="7143" w:leader="none"/>
        <w:tab w:val="right" w:pos="14287" w:leader="none"/>
      </w:tabs>
    </w:pPr>
  </w:style>
  <w:style w:type="character" w:styleId="679">
    <w:name w:val="Footer Char"/>
    <w:link w:val="678"/>
    <w:uiPriority w:val="99"/>
  </w:style>
  <w:style w:type="paragraph" w:styleId="680">
    <w:name w:val="Caption"/>
    <w:basedOn w:val="826"/>
    <w:next w:val="826"/>
    <w:uiPriority w:val="35"/>
    <w:semiHidden/>
    <w:unhideWhenUsed/>
    <w:qFormat/>
    <w:pPr>
      <w:spacing w:line="276" w:lineRule="auto"/>
    </w:pPr>
    <w:rPr>
      <w:b/>
      <w:bCs/>
      <w:color w:val="4f81bd" w:themeColor="accent1"/>
      <w:sz w:val="18"/>
      <w:szCs w:val="18"/>
    </w:rPr>
  </w:style>
  <w:style w:type="character" w:styleId="681">
    <w:name w:val="Caption Char"/>
    <w:basedOn w:val="680"/>
    <w:link w:val="678"/>
    <w:uiPriority w:val="99"/>
  </w:style>
  <w:style w:type="table" w:styleId="682">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3">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4">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6">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7">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8">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9">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0">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1">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2">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3">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4">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5">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6">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7">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8">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9">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0">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1">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2">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3">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1">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2">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3">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4">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5">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6">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7">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8">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9">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0">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1">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2">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3">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4">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5">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6">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7">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8">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9">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1">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2">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3">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4">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5">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6">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7">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8">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9">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0">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1">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2">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3">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4">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5">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6">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7">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8">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9">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0">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1">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2">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3">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4">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5">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6">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7">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8">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9">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0">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1">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2">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3">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4">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5">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6">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4">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5">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6">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7">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8">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9">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0">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1">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2">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3">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4">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5">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6">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7">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8">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9">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0">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1">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2">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3">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4">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5">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6">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7">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8">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9">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0">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1">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2">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3">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4">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5">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6">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7">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8">
    <w:name w:val="Hyperlink"/>
    <w:uiPriority w:val="99"/>
    <w:unhideWhenUsed/>
    <w:rPr>
      <w:color w:val="0000ff" w:themeColor="hyperlink"/>
      <w:u w:val="single"/>
    </w:rPr>
  </w:style>
  <w:style w:type="paragraph" w:styleId="809">
    <w:name w:val="footnote text"/>
    <w:basedOn w:val="826"/>
    <w:link w:val="810"/>
    <w:uiPriority w:val="99"/>
    <w:semiHidden/>
    <w:unhideWhenUsed/>
    <w:pPr>
      <w:spacing w:after="40" w:line="240" w:lineRule="auto"/>
    </w:pPr>
    <w:rPr>
      <w:sz w:val="18"/>
    </w:rPr>
  </w:style>
  <w:style w:type="character" w:styleId="810">
    <w:name w:val="Footnote Text Char"/>
    <w:link w:val="809"/>
    <w:uiPriority w:val="99"/>
    <w:rPr>
      <w:sz w:val="18"/>
    </w:rPr>
  </w:style>
  <w:style w:type="character" w:styleId="811">
    <w:name w:val="footnote reference"/>
    <w:uiPriority w:val="99"/>
    <w:unhideWhenUsed/>
    <w:rPr>
      <w:vertAlign w:val="superscript"/>
    </w:rPr>
  </w:style>
  <w:style w:type="paragraph" w:styleId="812">
    <w:name w:val="endnote text"/>
    <w:basedOn w:val="826"/>
    <w:link w:val="813"/>
    <w:uiPriority w:val="99"/>
    <w:semiHidden/>
    <w:unhideWhenUsed/>
    <w:pPr>
      <w:spacing w:after="0" w:line="240" w:lineRule="auto"/>
    </w:pPr>
    <w:rPr>
      <w:sz w:val="20"/>
    </w:rPr>
  </w:style>
  <w:style w:type="character" w:styleId="813">
    <w:name w:val="Endnote Text Char"/>
    <w:link w:val="812"/>
    <w:uiPriority w:val="99"/>
    <w:rPr>
      <w:sz w:val="20"/>
    </w:rPr>
  </w:style>
  <w:style w:type="character" w:styleId="814">
    <w:name w:val="endnote reference"/>
    <w:uiPriority w:val="99"/>
    <w:semiHidden/>
    <w:unhideWhenUsed/>
    <w:rPr>
      <w:vertAlign w:val="superscript"/>
    </w:rPr>
  </w:style>
  <w:style w:type="paragraph" w:styleId="815">
    <w:name w:val="toc 1"/>
    <w:basedOn w:val="826"/>
    <w:next w:val="826"/>
    <w:uiPriority w:val="39"/>
    <w:unhideWhenUsed/>
    <w:pPr>
      <w:ind w:left="0" w:right="0" w:firstLine="0"/>
      <w:spacing w:after="57"/>
    </w:pPr>
  </w:style>
  <w:style w:type="paragraph" w:styleId="816">
    <w:name w:val="toc 2"/>
    <w:basedOn w:val="826"/>
    <w:next w:val="826"/>
    <w:uiPriority w:val="39"/>
    <w:unhideWhenUsed/>
    <w:pPr>
      <w:ind w:left="283" w:right="0" w:firstLine="0"/>
      <w:spacing w:after="57"/>
    </w:pPr>
  </w:style>
  <w:style w:type="paragraph" w:styleId="817">
    <w:name w:val="toc 3"/>
    <w:basedOn w:val="826"/>
    <w:next w:val="826"/>
    <w:uiPriority w:val="39"/>
    <w:unhideWhenUsed/>
    <w:pPr>
      <w:ind w:left="567" w:right="0" w:firstLine="0"/>
      <w:spacing w:after="57"/>
    </w:pPr>
  </w:style>
  <w:style w:type="paragraph" w:styleId="818">
    <w:name w:val="toc 4"/>
    <w:basedOn w:val="826"/>
    <w:next w:val="826"/>
    <w:uiPriority w:val="39"/>
    <w:unhideWhenUsed/>
    <w:pPr>
      <w:ind w:left="850" w:right="0" w:firstLine="0"/>
      <w:spacing w:after="57"/>
    </w:pPr>
  </w:style>
  <w:style w:type="paragraph" w:styleId="819">
    <w:name w:val="toc 5"/>
    <w:basedOn w:val="826"/>
    <w:next w:val="826"/>
    <w:uiPriority w:val="39"/>
    <w:unhideWhenUsed/>
    <w:pPr>
      <w:ind w:left="1134" w:right="0" w:firstLine="0"/>
      <w:spacing w:after="57"/>
    </w:pPr>
  </w:style>
  <w:style w:type="paragraph" w:styleId="820">
    <w:name w:val="toc 6"/>
    <w:basedOn w:val="826"/>
    <w:next w:val="826"/>
    <w:uiPriority w:val="39"/>
    <w:unhideWhenUsed/>
    <w:pPr>
      <w:ind w:left="1417" w:right="0" w:firstLine="0"/>
      <w:spacing w:after="57"/>
    </w:pPr>
  </w:style>
  <w:style w:type="paragraph" w:styleId="821">
    <w:name w:val="toc 7"/>
    <w:basedOn w:val="826"/>
    <w:next w:val="826"/>
    <w:uiPriority w:val="39"/>
    <w:unhideWhenUsed/>
    <w:pPr>
      <w:ind w:left="1701" w:right="0" w:firstLine="0"/>
      <w:spacing w:after="57"/>
    </w:pPr>
  </w:style>
  <w:style w:type="paragraph" w:styleId="822">
    <w:name w:val="toc 8"/>
    <w:basedOn w:val="826"/>
    <w:next w:val="826"/>
    <w:uiPriority w:val="39"/>
    <w:unhideWhenUsed/>
    <w:pPr>
      <w:ind w:left="1984" w:right="0" w:firstLine="0"/>
      <w:spacing w:after="57"/>
    </w:pPr>
  </w:style>
  <w:style w:type="paragraph" w:styleId="823">
    <w:name w:val="toc 9"/>
    <w:basedOn w:val="826"/>
    <w:next w:val="826"/>
    <w:uiPriority w:val="39"/>
    <w:unhideWhenUsed/>
    <w:pPr>
      <w:ind w:left="2268" w:right="0" w:firstLine="0"/>
      <w:spacing w:after="57"/>
    </w:pPr>
  </w:style>
  <w:style w:type="paragraph" w:styleId="824">
    <w:name w:val="TOC Heading"/>
    <w:uiPriority w:val="39"/>
    <w:unhideWhenUsed/>
  </w:style>
  <w:style w:type="paragraph" w:styleId="825">
    <w:name w:val="table of figures"/>
    <w:basedOn w:val="826"/>
    <w:next w:val="826"/>
    <w:uiPriority w:val="99"/>
    <w:unhideWhenUsed/>
    <w:pPr>
      <w:spacing w:after="0" w:afterAutospacing="0"/>
    </w:pPr>
  </w:style>
  <w:style w:type="paragraph" w:styleId="826" w:default="1">
    <w:name w:val="Normal"/>
    <w:qFormat/>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paragraph" w:styleId="829">
    <w:name w:val="No Spacing"/>
    <w:basedOn w:val="826"/>
    <w:uiPriority w:val="1"/>
    <w:qFormat/>
    <w:pPr>
      <w:spacing w:after="0" w:line="240" w:lineRule="auto"/>
    </w:pPr>
  </w:style>
  <w:style w:type="paragraph" w:styleId="830">
    <w:name w:val="List Paragraph"/>
    <w:basedOn w:val="826"/>
    <w:uiPriority w:val="34"/>
    <w:qFormat/>
    <w:pPr>
      <w:contextualSpacing/>
      <w:ind w:left="720"/>
    </w:pPr>
  </w:style>
  <w:style w:type="character" w:styleId="8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2023-05-04T23:34:05Z</dcterms:modified>
</cp:coreProperties>
</file>