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B8842A"/>
          <w:sz w:val="52"/>
          <w:szCs w:val="52"/>
        </w:rPr>
        <w:t xml:space="preserve">RN Collins</w:t>
      </w:r>
    </w:p>
    <w:p>
      <w:pPr>
        <w:spacing w:after="240" w:before="0"/>
      </w:pPr>
      <w:r>
        <w:rPr>
          <w:rFonts w:ascii="Arial" w:cs="Arial" w:eastAsia="Arial" w:hAnsi="Arial"/>
          <w:color w:val="4A4744"/>
          <w:sz w:val="26"/>
          <w:szCs w:val="26"/>
        </w:rPr>
        <w:t xml:space="preserve">Strategic AI, Product &amp; Research Advisory</w:t>
      </w:r>
    </w:p>
    <w:p>
      <w:pPr>
        <w:spacing w:after="80" w:before="80"/>
      </w:pPr>
      <w:r>
        <w:rPr>
          <w:rFonts w:ascii="Arial" w:cs="Arial" w:eastAsia="Arial" w:hAnsi="Arial"/>
          <w:color w:val="B8842A"/>
          <w:sz w:val="20"/>
          <w:szCs w:val="20"/>
        </w:rPr>
        <w:t xml:space="preserve">Legal AI transformation advisory — for law firm leaders, GCs, and legal tech founders</w:t>
      </w:r>
    </w:p>
    <w:p>
      <w:pPr>
        <w:pBdr>
          <w:bottom w:val="single" w:color="DDD8D0" w:sz="4" w:space="1"/>
        </w:pBdr>
        <w:spacing w:after="200" w:before="200"/>
      </w:pPr>
      <w:r>
        <w:t xml:space="preserve"/>
      </w:r>
    </w:p>
    <w:p>
      <w:pPr>
        <w:spacing w:after="240" w:before="120"/>
      </w:pPr>
      <w:r>
        <w:rPr>
          <w:rFonts w:ascii="Arial" w:cs="Arial" w:eastAsia="Arial" w:hAnsi="Arial"/>
          <w:i/>
          <w:iCs/>
          <w:color w:val="1C1B1F"/>
          <w:sz w:val="22"/>
          <w:szCs w:val="22"/>
        </w:rPr>
        <w:t xml:space="preserve">I help founders, startups, law firms, and research organizations transform ambitious ideas into rigorous, defensible products and businesses by combining AI strategy, product thinking, legal and regulatory insight, interdisciplinary research, and systems design.</w:t>
      </w:r>
    </w:p>
    <w:p>
      <w:pPr>
        <w:pBdr>
          <w:bottom w:val="single" w:color="DDD8D0" w:sz="4" w:space="1"/>
        </w:pBdr>
        <w:spacing w:after="200" w:before="200"/>
      </w:pPr>
      <w:r>
        <w:t xml:space="preserve"/>
      </w:r>
    </w:p>
    <w:p>
      <w:pPr>
        <w:spacing w:after="100" w:before="320"/>
      </w:pPr>
      <w:r>
        <w:rPr>
          <w:rFonts w:ascii="Arial" w:cs="Arial" w:eastAsia="Arial" w:hAnsi="Arial"/>
          <w:b/>
          <w:bCs/>
          <w:color w:val="1C1B1F"/>
          <w:sz w:val="26"/>
          <w:szCs w:val="26"/>
        </w:rPr>
        <w:t xml:space="preserve">What I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single" w:color="DDD8D0" w:sz="2"/>
            </w:tcBorders>
            <w:tcMar>
              <w:top w:type="dxa" w:w="80"/>
              <w:left w:type="dxa" w:w="0"/>
              <w:bottom w:type="dxa" w:w="80"/>
              <w:right w:type="dxa" w:w="240"/>
            </w:tcMar>
          </w:tcPr>
          <w:p>
            <w:pPr>
              <w:spacing w:after="80" w:before="0"/>
            </w:pPr>
            <w:r>
              <w:rPr>
                <w:rFonts w:ascii="Arial" w:cs="Arial" w:eastAsia="Arial" w:hAnsi="Arial"/>
                <w:b/>
                <w:bCs/>
                <w:color w:val="B8842A"/>
                <w:sz w:val="20"/>
                <w:szCs w:val="20"/>
              </w:rPr>
              <w:t xml:space="preserve">Areas of Practice</w:t>
            </w:r>
          </w:p>
          <w:p>
            <w:pPr>
              <w:spacing w:after="40" w:before="40"/>
            </w:pPr>
            <w:r>
              <w:rPr>
                <w:rFonts w:ascii="Arial" w:cs="Arial" w:eastAsia="Arial" w:hAnsi="Arial"/>
                <w:color w:val="1C1B1F"/>
                <w:sz w:val="20"/>
                <w:szCs w:val="20"/>
              </w:rPr>
              <w:t xml:space="preserve">AI Strategy &amp; Integration</w:t>
            </w:r>
          </w:p>
          <w:p>
            <w:pPr>
              <w:spacing w:after="40" w:before="40"/>
            </w:pPr>
            <w:r>
              <w:rPr>
                <w:rFonts w:ascii="Arial" w:cs="Arial" w:eastAsia="Arial" w:hAnsi="Arial"/>
                <w:color w:val="1C1B1F"/>
                <w:sz w:val="20"/>
                <w:szCs w:val="20"/>
              </w:rPr>
              <w:t xml:space="preserve">Product Strategy</w:t>
            </w:r>
          </w:p>
          <w:p>
            <w:pPr>
              <w:spacing w:after="40" w:before="40"/>
            </w:pPr>
            <w:r>
              <w:rPr>
                <w:rFonts w:ascii="Arial" w:cs="Arial" w:eastAsia="Arial" w:hAnsi="Arial"/>
                <w:color w:val="1C1B1F"/>
                <w:sz w:val="20"/>
                <w:szCs w:val="20"/>
              </w:rPr>
              <w:t xml:space="preserve">Founder Advisory</w:t>
            </w:r>
          </w:p>
          <w:p>
            <w:pPr>
              <w:spacing w:after="40" w:before="40"/>
            </w:pPr>
            <w:r>
              <w:rPr>
                <w:rFonts w:ascii="Arial" w:cs="Arial" w:eastAsia="Arial" w:hAnsi="Arial"/>
                <w:color w:val="1C1B1F"/>
                <w:sz w:val="20"/>
                <w:szCs w:val="20"/>
              </w:rPr>
              <w:t xml:space="preserve">Research Intelligence</w:t>
            </w:r>
          </w:p>
          <w:p>
            <w:pPr>
              <w:spacing w:after="40" w:before="40"/>
            </w:pPr>
            <w:r>
              <w:rPr>
                <w:rFonts w:ascii="Arial" w:cs="Arial" w:eastAsia="Arial" w:hAnsi="Arial"/>
                <w:color w:val="1C1B1F"/>
                <w:sz w:val="20"/>
                <w:szCs w:val="20"/>
              </w:rPr>
              <w:t xml:space="preserve">Legal &amp; Regulatory Analysis</w:t>
            </w:r>
          </w:p>
          <w:p>
            <w:pPr>
              <w:spacing w:after="40" w:before="40"/>
            </w:pPr>
            <w:r>
              <w:rPr>
                <w:rFonts w:ascii="Arial" w:cs="Arial" w:eastAsia="Arial" w:hAnsi="Arial"/>
                <w:color w:val="1C1B1F"/>
                <w:sz w:val="20"/>
                <w:szCs w:val="20"/>
              </w:rPr>
              <w:t xml:space="preserve">Knowledge Systems &amp; Documentation</w:t>
            </w:r>
          </w:p>
          <w:p>
            <w:pPr>
              <w:spacing w:after="40" w:before="40"/>
            </w:pPr>
            <w:r>
              <w:rPr>
                <w:rFonts w:ascii="Arial" w:cs="Arial" w:eastAsia="Arial" w:hAnsi="Arial"/>
                <w:color w:val="1C1B1F"/>
                <w:sz w:val="20"/>
                <w:szCs w:val="20"/>
              </w:rPr>
              <w:t xml:space="preserve">Business Design</w:t>
            </w:r>
          </w:p>
          <w:p>
            <w:pPr>
              <w:spacing w:after="40" w:before="40"/>
            </w:pPr>
            <w:r>
              <w:rPr>
                <w:rFonts w:ascii="Arial" w:cs="Arial" w:eastAsia="Arial" w:hAnsi="Arial"/>
                <w:color w:val="1C1B1F"/>
                <w:sz w:val="20"/>
                <w:szCs w:val="20"/>
              </w:rPr>
              <w:t xml:space="preserve">Educational Innovation</w:t>
            </w:r>
          </w:p>
        </w:tc>
        <w:tc>
          <w:tcPr>
            <w:tcW w:type="dxa" w:w="4680"/>
            <w:tcBorders>
              <w:top w:val="none"/>
              <w:left w:val="none"/>
              <w:bottom w:val="none"/>
              <w:right w:val="none"/>
            </w:tcBorders>
            <w:tcMar>
              <w:top w:type="dxa" w:w="80"/>
              <w:left w:type="dxa" w:w="240"/>
              <w:bottom w:type="dxa" w:w="80"/>
              <w:right w:type="dxa" w:w="0"/>
            </w:tcMar>
          </w:tcPr>
          <w:p>
            <w:pPr>
              <w:spacing w:after="80" w:before="0"/>
            </w:pPr>
            <w:r>
              <w:rPr>
                <w:rFonts w:ascii="Arial" w:cs="Arial" w:eastAsia="Arial" w:hAnsi="Arial"/>
                <w:b/>
                <w:bCs/>
                <w:color w:val="B8842A"/>
                <w:sz w:val="20"/>
                <w:szCs w:val="20"/>
              </w:rPr>
              <w:t xml:space="preserve">Typical Deliverables</w:t>
            </w:r>
          </w:p>
          <w:p>
            <w:pPr>
              <w:spacing w:after="40" w:before="40"/>
            </w:pPr>
            <w:r>
              <w:rPr>
                <w:rFonts w:ascii="Arial" w:cs="Arial" w:eastAsia="Arial" w:hAnsi="Arial"/>
                <w:color w:val="1C1B1F"/>
                <w:sz w:val="20"/>
                <w:szCs w:val="20"/>
              </w:rPr>
              <w:t xml:space="preserve">Founder memos &amp; strategy documents</w:t>
            </w:r>
          </w:p>
          <w:p>
            <w:pPr>
              <w:spacing w:after="40" w:before="40"/>
            </w:pPr>
            <w:r>
              <w:rPr>
                <w:rFonts w:ascii="Arial" w:cs="Arial" w:eastAsia="Arial" w:hAnsi="Arial"/>
                <w:color w:val="1C1B1F"/>
                <w:sz w:val="20"/>
                <w:szCs w:val="20"/>
              </w:rPr>
              <w:t xml:space="preserve">Product audits &amp; roadmaps</w:t>
            </w:r>
          </w:p>
          <w:p>
            <w:pPr>
              <w:spacing w:after="40" w:before="40"/>
            </w:pPr>
            <w:r>
              <w:rPr>
                <w:rFonts w:ascii="Arial" w:cs="Arial" w:eastAsia="Arial" w:hAnsi="Arial"/>
                <w:color w:val="1C1B1F"/>
                <w:sz w:val="20"/>
                <w:szCs w:val="20"/>
              </w:rPr>
              <w:t xml:space="preserve">AI integration plans</w:t>
            </w:r>
          </w:p>
          <w:p>
            <w:pPr>
              <w:spacing w:after="40" w:before="40"/>
            </w:pPr>
            <w:r>
              <w:rPr>
                <w:rFonts w:ascii="Arial" w:cs="Arial" w:eastAsia="Arial" w:hAnsi="Arial"/>
                <w:color w:val="1C1B1F"/>
                <w:sz w:val="20"/>
                <w:szCs w:val="20"/>
              </w:rPr>
              <w:t xml:space="preserve">Market &amp; competitive intelligence</w:t>
            </w:r>
          </w:p>
          <w:p>
            <w:pPr>
              <w:spacing w:after="40" w:before="40"/>
            </w:pPr>
            <w:r>
              <w:rPr>
                <w:rFonts w:ascii="Arial" w:cs="Arial" w:eastAsia="Arial" w:hAnsi="Arial"/>
                <w:color w:val="1C1B1F"/>
                <w:sz w:val="20"/>
                <w:szCs w:val="20"/>
              </w:rPr>
              <w:t xml:space="preserve">User research synthesis</w:t>
            </w:r>
          </w:p>
          <w:p>
            <w:pPr>
              <w:spacing w:after="40" w:before="40"/>
            </w:pPr>
            <w:r>
              <w:rPr>
                <w:rFonts w:ascii="Arial" w:cs="Arial" w:eastAsia="Arial" w:hAnsi="Arial"/>
                <w:color w:val="1C1B1F"/>
                <w:sz w:val="20"/>
                <w:szCs w:val="20"/>
              </w:rPr>
              <w:t xml:space="preserve">Regulatory monitoring reports</w:t>
            </w:r>
          </w:p>
          <w:p>
            <w:pPr>
              <w:spacing w:after="40" w:before="40"/>
            </w:pPr>
            <w:r>
              <w:rPr>
                <w:rFonts w:ascii="Arial" w:cs="Arial" w:eastAsia="Arial" w:hAnsi="Arial"/>
                <w:color w:val="1C1B1F"/>
                <w:sz w:val="20"/>
                <w:szCs w:val="20"/>
              </w:rPr>
              <w:t xml:space="preserve">Knowledge bases &amp; SOPs</w:t>
            </w:r>
          </w:p>
          <w:p>
            <w:pPr>
              <w:spacing w:after="40" w:before="40"/>
            </w:pPr>
            <w:r>
              <w:rPr>
                <w:rFonts w:ascii="Arial" w:cs="Arial" w:eastAsia="Arial" w:hAnsi="Arial"/>
                <w:color w:val="1C1B1F"/>
                <w:sz w:val="20"/>
                <w:szCs w:val="20"/>
              </w:rPr>
              <w:t xml:space="preserve">Briefing documents</w:t>
            </w:r>
          </w:p>
        </w:tc>
      </w:tr>
    </w:tbl>
    <w:p>
      <w:pPr>
        <w:pBdr>
          <w:bottom w:val="single" w:color="DDD8D0" w:sz="4" w:space="1"/>
        </w:pBdr>
        <w:spacing w:after="200" w:before="200"/>
      </w:pPr>
      <w:r>
        <w:t xml:space="preserve"/>
      </w:r>
    </w:p>
    <w:p>
      <w:pPr>
        <w:spacing w:after="100" w:before="320"/>
      </w:pPr>
      <w:r>
        <w:rPr>
          <w:rFonts w:ascii="Arial" w:cs="Arial" w:eastAsia="Arial" w:hAnsi="Arial"/>
          <w:b/>
          <w:bCs/>
          <w:color w:val="1C1B1F"/>
          <w:sz w:val="26"/>
          <w:szCs w:val="26"/>
        </w:rPr>
        <w:t xml:space="preserve">Engagement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8D0" w:sz="1"/>
              <w:left w:val="single" w:color="DDD8D0" w:sz="1"/>
              <w:bottom w:val="single" w:color="DDD8D0" w:sz="1"/>
              <w:right w:val="single" w:color="DDD8D0" w:sz="1"/>
            </w:tcBorders>
            <w:shd w:fill="F0EDE8" w:val="clear"/>
            <w:tcMar>
              <w:top w:type="dxa" w:w="100"/>
              <w:left w:type="dxa" w:w="160"/>
              <w:bottom w:type="dxa" w:w="100"/>
              <w:right w:type="dxa" w:w="160"/>
            </w:tcMar>
          </w:tcPr>
          <w:p>
            <w:r>
              <w:rPr>
                <w:rFonts w:ascii="Arial" w:cs="Arial" w:eastAsia="Arial" w:hAnsi="Arial"/>
                <w:b/>
                <w:bCs/>
                <w:color w:val="1C1B1F"/>
                <w:sz w:val="20"/>
                <w:szCs w:val="20"/>
              </w:rPr>
              <w:t xml:space="preserve">Strategy Session (50 min)</w:t>
            </w:r>
          </w:p>
        </w:tc>
        <w:tc>
          <w:tcPr>
            <w:tcW w:type="dxa" w:w="7160"/>
            <w:tcBorders>
              <w:top w:val="single" w:color="DDD8D0" w:sz="1"/>
              <w:left w:val="single" w:color="DDD8D0" w:sz="1"/>
              <w:bottom w:val="single" w:color="DDD8D0" w:sz="1"/>
              <w:right w:val="single" w:color="DDD8D0" w:sz="1"/>
            </w:tcBorders>
            <w:tcMar>
              <w:top w:type="dxa" w:w="100"/>
              <w:left w:type="dxa" w:w="160"/>
              <w:bottom w:type="dxa" w:w="100"/>
              <w:right w:type="dxa" w:w="160"/>
            </w:tcMar>
          </w:tcPr>
          <w:p>
            <w:r>
              <w:rPr>
                <w:rFonts w:ascii="Arial" w:cs="Arial" w:eastAsia="Arial" w:hAnsi="Arial"/>
                <w:color w:val="1C1B1F"/>
                <w:sz w:val="20"/>
                <w:szCs w:val="20"/>
              </w:rPr>
              <w:t xml:space="preserve">One-time 50-minute engagement. Written recommendations delivered afterward.</w:t>
            </w:r>
          </w:p>
        </w:tc>
      </w:tr>
      <w:tr>
        <w:tc>
          <w:tcPr>
            <w:tcW w:type="dxa" w:w="2200"/>
            <w:tcBorders>
              <w:top w:val="single" w:color="DDD8D0" w:sz="1"/>
              <w:left w:val="single" w:color="DDD8D0" w:sz="1"/>
              <w:bottom w:val="single" w:color="DDD8D0" w:sz="1"/>
              <w:right w:val="single" w:color="DDD8D0" w:sz="1"/>
            </w:tcBorders>
            <w:shd w:fill="F0EDE8" w:val="clear"/>
            <w:tcMar>
              <w:top w:type="dxa" w:w="100"/>
              <w:left w:type="dxa" w:w="160"/>
              <w:bottom w:type="dxa" w:w="100"/>
              <w:right w:type="dxa" w:w="160"/>
            </w:tcMar>
          </w:tcPr>
          <w:p>
            <w:r>
              <w:rPr>
                <w:rFonts w:ascii="Arial" w:cs="Arial" w:eastAsia="Arial" w:hAnsi="Arial"/>
                <w:b/>
                <w:bCs/>
                <w:color w:val="1C1B1F"/>
                <w:sz w:val="20"/>
                <w:szCs w:val="20"/>
              </w:rPr>
              <w:t xml:space="preserve">Fixed-Scope Project</w:t>
            </w:r>
          </w:p>
        </w:tc>
        <w:tc>
          <w:tcPr>
            <w:tcW w:type="dxa" w:w="7160"/>
            <w:tcBorders>
              <w:top w:val="single" w:color="DDD8D0" w:sz="1"/>
              <w:left w:val="single" w:color="DDD8D0" w:sz="1"/>
              <w:bottom w:val="single" w:color="DDD8D0" w:sz="1"/>
              <w:right w:val="single" w:color="DDD8D0" w:sz="1"/>
            </w:tcBorders>
            <w:tcMar>
              <w:top w:type="dxa" w:w="100"/>
              <w:left w:type="dxa" w:w="160"/>
              <w:bottom w:type="dxa" w:w="100"/>
              <w:right w:type="dxa" w:w="160"/>
            </w:tcMar>
          </w:tcPr>
          <w:p>
            <w:r>
              <w:rPr>
                <w:rFonts w:ascii="Arial" w:cs="Arial" w:eastAsia="Arial" w:hAnsi="Arial"/>
                <w:color w:val="1C1B1F"/>
                <w:sz w:val="20"/>
                <w:szCs w:val="20"/>
              </w:rPr>
              <w:t xml:space="preserve">Product audit, founder memo, AI strategy, competitive analysis, or roadmap. Scoped and priced per project.</w:t>
            </w:r>
          </w:p>
        </w:tc>
      </w:tr>
      <w:tr>
        <w:tc>
          <w:tcPr>
            <w:tcW w:type="dxa" w:w="2200"/>
            <w:tcBorders>
              <w:top w:val="single" w:color="DDD8D0" w:sz="1"/>
              <w:left w:val="single" w:color="DDD8D0" w:sz="1"/>
              <w:bottom w:val="single" w:color="DDD8D0" w:sz="1"/>
              <w:right w:val="single" w:color="DDD8D0" w:sz="1"/>
            </w:tcBorders>
            <w:shd w:fill="F0EDE8" w:val="clear"/>
            <w:tcMar>
              <w:top w:type="dxa" w:w="100"/>
              <w:left w:type="dxa" w:w="160"/>
              <w:bottom w:type="dxa" w:w="100"/>
              <w:right w:type="dxa" w:w="160"/>
            </w:tcMar>
          </w:tcPr>
          <w:p>
            <w:r>
              <w:rPr>
                <w:rFonts w:ascii="Arial" w:cs="Arial" w:eastAsia="Arial" w:hAnsi="Arial"/>
                <w:b/>
                <w:bCs/>
                <w:color w:val="1C1B1F"/>
                <w:sz w:val="20"/>
                <w:szCs w:val="20"/>
              </w:rPr>
              <w:t xml:space="preserve">Monthly Advisory</w:t>
            </w:r>
          </w:p>
        </w:tc>
        <w:tc>
          <w:tcPr>
            <w:tcW w:type="dxa" w:w="7160"/>
            <w:tcBorders>
              <w:top w:val="single" w:color="DDD8D0" w:sz="1"/>
              <w:left w:val="single" w:color="DDD8D0" w:sz="1"/>
              <w:bottom w:val="single" w:color="DDD8D0" w:sz="1"/>
              <w:right w:val="single" w:color="DDD8D0" w:sz="1"/>
            </w:tcBorders>
            <w:tcMar>
              <w:top w:type="dxa" w:w="100"/>
              <w:left w:type="dxa" w:w="160"/>
              <w:bottom w:type="dxa" w:w="100"/>
              <w:right w:type="dxa" w:w="160"/>
            </w:tcMar>
          </w:tcPr>
          <w:p>
            <w:r>
              <w:rPr>
                <w:rFonts w:ascii="Arial" w:cs="Arial" w:eastAsia="Arial" w:hAnsi="Arial"/>
                <w:color w:val="1C1B1F"/>
                <w:sz w:val="20"/>
                <w:szCs w:val="20"/>
              </w:rPr>
              <w:t xml:space="preserve">Ongoing strategic thought partnership. Weekly calls, async collaboration, document review, roadmap development.</w:t>
            </w:r>
          </w:p>
        </w:tc>
      </w:tr>
      <w:tr>
        <w:tc>
          <w:tcPr>
            <w:tcW w:type="dxa" w:w="2200"/>
            <w:tcBorders>
              <w:top w:val="single" w:color="DDD8D0" w:sz="1"/>
              <w:left w:val="single" w:color="DDD8D0" w:sz="1"/>
              <w:bottom w:val="single" w:color="DDD8D0" w:sz="1"/>
              <w:right w:val="single" w:color="DDD8D0" w:sz="1"/>
            </w:tcBorders>
            <w:shd w:fill="F0EDE8" w:val="clear"/>
            <w:tcMar>
              <w:top w:type="dxa" w:w="100"/>
              <w:left w:type="dxa" w:w="160"/>
              <w:bottom w:type="dxa" w:w="100"/>
              <w:right w:type="dxa" w:w="160"/>
            </w:tcMar>
          </w:tcPr>
          <w:p>
            <w:r>
              <w:rPr>
                <w:rFonts w:ascii="Arial" w:cs="Arial" w:eastAsia="Arial" w:hAnsi="Arial"/>
                <w:b/>
                <w:bCs/>
                <w:color w:val="1C1B1F"/>
                <w:sz w:val="20"/>
                <w:szCs w:val="20"/>
              </w:rPr>
              <w:t xml:space="preserve">Fractional Executive</w:t>
            </w:r>
          </w:p>
        </w:tc>
        <w:tc>
          <w:tcPr>
            <w:tcW w:type="dxa" w:w="7160"/>
            <w:tcBorders>
              <w:top w:val="single" w:color="DDD8D0" w:sz="1"/>
              <w:left w:val="single" w:color="DDD8D0" w:sz="1"/>
              <w:bottom w:val="single" w:color="DDD8D0" w:sz="1"/>
              <w:right w:val="single" w:color="DDD8D0" w:sz="1"/>
            </w:tcBorders>
            <w:tcMar>
              <w:top w:type="dxa" w:w="100"/>
              <w:left w:type="dxa" w:w="160"/>
              <w:bottom w:type="dxa" w:w="100"/>
              <w:right w:type="dxa" w:w="160"/>
            </w:tcMar>
          </w:tcPr>
          <w:p>
            <w:r>
              <w:rPr>
                <w:rFonts w:ascii="Arial" w:cs="Arial" w:eastAsia="Arial" w:hAnsi="Arial"/>
                <w:color w:val="1C1B1F"/>
                <w:sz w:val="20"/>
                <w:szCs w:val="20"/>
              </w:rPr>
              <w:t xml:space="preserve">Fractional Chief AI Officer, Chief Strategy Officer, or Chief Innovation Officer. Embedded advisory for early-stage teams.</w:t>
            </w:r>
          </w:p>
        </w:tc>
      </w:tr>
    </w:tbl>
    <w:p>
      <w:pPr>
        <w:pBdr>
          <w:bottom w:val="single" w:color="DDD8D0" w:sz="4" w:space="1"/>
        </w:pBdr>
        <w:spacing w:after="200" w:before="200"/>
      </w:pPr>
      <w:r>
        <w:t xml:space="preserve"/>
      </w:r>
    </w:p>
    <w:p>
      <w:pPr>
        <w:spacing w:after="100" w:before="320"/>
      </w:pPr>
      <w:r>
        <w:rPr>
          <w:rFonts w:ascii="Arial" w:cs="Arial" w:eastAsia="Arial" w:hAnsi="Arial"/>
          <w:b/>
          <w:bCs/>
          <w:color w:val="1C1B1F"/>
          <w:sz w:val="26"/>
          <w:szCs w:val="26"/>
        </w:rPr>
        <w:t xml:space="preserve">Industries</w:t>
      </w:r>
    </w:p>
    <w:p>
      <w:pPr>
        <w:spacing w:after="240" w:before="60"/>
      </w:pPr>
      <w:r>
        <w:rPr>
          <w:rFonts w:ascii="Arial" w:cs="Arial" w:eastAsia="Arial" w:hAnsi="Arial"/>
          <w:color w:val="4A4744"/>
          <w:sz w:val="20"/>
          <w:szCs w:val="20"/>
        </w:rPr>
        <w:t xml:space="preserve">Legal · Legal Tech · AI · Healthcare · Biotechnology · Psychedelics · Cannabis · Education · SaaS · Research · Government Innovation · Public Policy</w:t>
      </w:r>
    </w:p>
    <w:p>
      <w:pPr>
        <w:pBdr>
          <w:bottom w:val="single" w:color="DDD8D0" w:sz="4" w:space="1"/>
        </w:pBdr>
        <w:spacing w:after="200" w:before="200"/>
      </w:pPr>
      <w:r>
        <w:t xml:space="preserve"/>
      </w:r>
    </w:p>
    <w:p>
      <w:pPr>
        <w:spacing w:after="100" w:before="320"/>
      </w:pPr>
      <w:r>
        <w:rPr>
          <w:rFonts w:ascii="Arial" w:cs="Arial" w:eastAsia="Arial" w:hAnsi="Arial"/>
          <w:b/>
          <w:bCs/>
          <w:color w:val="1C1B1F"/>
          <w:sz w:val="26"/>
          <w:szCs w:val="26"/>
        </w:rPr>
        <w:t xml:space="preserve">What Makes This Different</w:t>
      </w:r>
    </w:p>
    <w:p>
      <w:pPr>
        <w:spacing w:after="120" w:before="60"/>
        <w:jc w:val="left"/>
      </w:pPr>
      <w:r>
        <w:rPr>
          <w:rFonts w:ascii="Arial" w:cs="Arial" w:eastAsia="Arial" w:hAnsi="Arial"/>
          <w:color w:val="1C1B1F"/>
          <w:sz w:val="22"/>
          <w:szCs w:val="22"/>
        </w:rPr>
        <w:t xml:space="preserve">Most advisors specialize in one discipline. This practice operates across scientific research, legal analysis, AI implementation, systems thinking, product strategy, and execution simultaneously. The value is in the integration.</w:t>
      </w:r>
    </w:p>
    <w:p>
      <w:pPr>
        <w:spacing w:after="0" w:before="80"/>
      </w:pPr>
      <w:r>
        <w:t xml:space="preserve"/>
      </w:r>
    </w:p>
    <w:p>
      <w:pPr>
        <w:spacing w:after="80" w:before="0"/>
      </w:pPr>
      <w:r>
        <w:rPr>
          <w:rFonts w:ascii="Arial" w:cs="Arial" w:eastAsia="Arial" w:hAnsi="Arial"/>
          <w:b/>
          <w:bCs/>
          <w:color w:val="1C1B1F"/>
          <w:sz w:val="22"/>
          <w:szCs w:val="22"/>
        </w:rPr>
        <w:t xml:space="preserve">Why founders bring me in:</w:t>
      </w:r>
    </w:p>
    <w:p>
      <w:pPr>
        <w:spacing w:after="40" w:before="40"/>
      </w:pPr>
      <w:r>
        <w:rPr>
          <w:rFonts w:ascii="Arial" w:cs="Arial" w:eastAsia="Arial" w:hAnsi="Arial"/>
          <w:i/>
          <w:iCs/>
          <w:color w:val="4A4744"/>
          <w:sz w:val="22"/>
          <w:szCs w:val="22"/>
        </w:rPr>
        <w:t xml:space="preserve">What should we build?</w:t>
      </w:r>
    </w:p>
    <w:p>
      <w:pPr>
        <w:spacing w:after="40" w:before="40"/>
      </w:pPr>
      <w:r>
        <w:rPr>
          <w:rFonts w:ascii="Arial" w:cs="Arial" w:eastAsia="Arial" w:hAnsi="Arial"/>
          <w:i/>
          <w:iCs/>
          <w:color w:val="4A4744"/>
          <w:sz w:val="22"/>
          <w:szCs w:val="22"/>
        </w:rPr>
        <w:t xml:space="preserve">What assumptions haven't we challenged?</w:t>
      </w:r>
    </w:p>
    <w:p>
      <w:pPr>
        <w:spacing w:after="40" w:before="40"/>
      </w:pPr>
      <w:r>
        <w:rPr>
          <w:rFonts w:ascii="Arial" w:cs="Arial" w:eastAsia="Arial" w:hAnsi="Arial"/>
          <w:i/>
          <w:iCs/>
          <w:color w:val="4A4744"/>
          <w:sz w:val="22"/>
          <w:szCs w:val="22"/>
        </w:rPr>
        <w:t xml:space="preserve">How does AI change this?</w:t>
      </w:r>
    </w:p>
    <w:p>
      <w:pPr>
        <w:spacing w:after="40" w:before="40"/>
      </w:pPr>
      <w:r>
        <w:rPr>
          <w:rFonts w:ascii="Arial" w:cs="Arial" w:eastAsia="Arial" w:hAnsi="Arial"/>
          <w:i/>
          <w:iCs/>
          <w:color w:val="4A4744"/>
          <w:sz w:val="22"/>
          <w:szCs w:val="22"/>
        </w:rPr>
        <w:t xml:space="preserve">What would make this defensible?</w:t>
      </w:r>
    </w:p>
    <w:p>
      <w:pPr>
        <w:spacing w:after="40" w:before="40"/>
      </w:pPr>
      <w:r>
        <w:rPr>
          <w:rFonts w:ascii="Arial" w:cs="Arial" w:eastAsia="Arial" w:hAnsi="Arial"/>
          <w:i/>
          <w:iCs/>
          <w:color w:val="4A4744"/>
          <w:sz w:val="22"/>
          <w:szCs w:val="22"/>
        </w:rPr>
        <w:t xml:space="preserve">What does the five-year version become?</w:t>
      </w:r>
    </w:p>
    <w:p>
      <w:pPr>
        <w:pBdr>
          <w:bottom w:val="single" w:color="DDD8D0" w:sz="4" w:space="1"/>
        </w:pBdr>
        <w:spacing w:after="200" w:before="200"/>
      </w:pPr>
      <w:r>
        <w:t xml:space="preserve"/>
      </w:r>
    </w:p>
    <w:p>
      <w:pPr>
        <w:spacing w:after="0" w:before="120"/>
      </w:pPr>
      <w:r>
        <w:rPr>
          <w:rFonts w:ascii="Arial" w:cs="Arial" w:eastAsia="Arial" w:hAnsi="Arial"/>
          <w:b/>
          <w:bCs/>
          <w:color w:val="1C1B1F"/>
          <w:sz w:val="22"/>
          <w:szCs w:val="22"/>
        </w:rPr>
        <w:t xml:space="preserve">RN Collins   </w:t>
      </w:r>
      <w:hyperlink r:id="rId8" w:history="1">
        <w:r>
          <w:rPr>
            <w:rFonts w:ascii="Arial" w:cs="Arial" w:eastAsia="Arial" w:hAnsi="Arial"/>
            <w:color w:val="B8842A"/>
            <w:sz w:val="22"/>
            <w:szCs w:val="22"/>
            <w:u w:val="single"/>
          </w:rPr>
          <w:t xml:space="preserve">collins.ra@northeastern.edu</w:t>
        </w:r>
      </w:hyperlink>
      <w:r>
        <w:rPr>
          <w:rFonts w:ascii="Arial" w:cs="Arial" w:eastAsia="Arial" w:hAnsi="Arial"/>
          <w:color w:val="4A4744"/>
          <w:sz w:val="22"/>
          <w:szCs w:val="22"/>
        </w:rPr>
        <w:t xml:space="preserve">   </w:t>
      </w:r>
      <w:hyperlink r:id="rId9" w:history="1">
        <w:r>
          <w:rPr>
            <w:rFonts w:ascii="Arial" w:cs="Arial" w:eastAsia="Arial" w:hAnsi="Arial"/>
            <w:color w:val="B8842A"/>
            <w:sz w:val="22"/>
            <w:szCs w:val="22"/>
            <w:u w:val="single"/>
          </w:rPr>
          <w:t xml:space="preserve">Book a call</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mailto:collins.ra@northeastern.edu" TargetMode="External"/><Relationship Id="rId9" Type="http://schemas.openxmlformats.org/officeDocument/2006/relationships/hyperlink" Target="https://outlook.office.com/bookwithme/user/3ff7c8299177431a8fc2b099238c5e43@northeastern.edu?anonymous&amp;ismsaljsauthenabled&amp;ep=plink"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2026-06-30T22:45:04.684Z</dcterms:created>
  <dcterms:modified xsi:type="dcterms:W3CDTF">2026-06-30T22:45:04.684Z</dcterms:modified>
</cp:coreProperties>
</file>

<file path=docProps/custom.xml><?xml version="1.0" encoding="utf-8"?>
<Properties xmlns="http://schemas.openxmlformats.org/officeDocument/2006/custom-properties" xmlns:vt="http://schemas.openxmlformats.org/officeDocument/2006/docPropsVTypes"/>
</file>