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voice-configuration-template"/>
    <w:p>
      <w:pPr>
        <w:pStyle w:val="Heading1"/>
      </w:pPr>
      <w:r>
        <w:t xml:space="preserve">Voice configuration template</w:t>
      </w:r>
    </w:p>
    <w:bookmarkStart w:id="20" w:name="identity-and-purpose"/>
    <w:p>
      <w:pPr>
        <w:pStyle w:val="Heading2"/>
      </w:pPr>
      <w:r>
        <w:t xml:space="preserve">Identity and purpose</w:t>
      </w:r>
    </w:p>
    <w:p>
      <w:pPr>
        <w:pStyle w:val="FirstParagraph"/>
      </w:pPr>
      <w:r>
        <w:t xml:space="preserve">Organization:</w:t>
      </w:r>
      <w:r>
        <w:t xml:space="preserve"> </w:t>
      </w:r>
      <w:r>
        <w:t xml:space="preserve">Audience-facing purpose:</w:t>
      </w:r>
      <w:r>
        <w:t xml:space="preserve"> </w:t>
      </w:r>
      <w:r>
        <w:t xml:space="preserve">Accountable owner:</w:t>
      </w:r>
    </w:p>
    <w:bookmarkEnd w:id="20"/>
    <w:bookmarkStart w:id="21" w:name="principles"/>
    <w:p>
      <w:pPr>
        <w:pStyle w:val="Heading2"/>
      </w:pPr>
      <w:r>
        <w:t xml:space="preserve">Principles</w:t>
      </w:r>
    </w:p>
    <w:p>
      <w:pPr>
        <w:numPr>
          <w:ilvl w:val="0"/>
          <w:numId w:val="1001"/>
        </w:numPr>
        <w:pStyle w:val="Compact"/>
      </w:pPr>
      <w:r>
        <w:t xml:space="preserve">Sound like:</w:t>
      </w:r>
    </w:p>
    <w:p>
      <w:pPr>
        <w:numPr>
          <w:ilvl w:val="0"/>
          <w:numId w:val="1001"/>
        </w:numPr>
        <w:pStyle w:val="Compact"/>
      </w:pPr>
      <w:r>
        <w:t xml:space="preserve">Never sound like:</w:t>
      </w:r>
    </w:p>
    <w:p>
      <w:pPr>
        <w:numPr>
          <w:ilvl w:val="0"/>
          <w:numId w:val="1001"/>
        </w:numPr>
        <w:pStyle w:val="Compact"/>
      </w:pPr>
      <w:r>
        <w:t xml:space="preserve">Preferred sentence and paragraph rhythm:</w:t>
      </w:r>
    </w:p>
    <w:bookmarkEnd w:id="21"/>
    <w:bookmarkStart w:id="22" w:name="terminology"/>
    <w:p>
      <w:pPr>
        <w:pStyle w:val="Heading2"/>
      </w:pPr>
      <w:r>
        <w:t xml:space="preserve">Terminology</w:t>
      </w:r>
    </w:p>
    <w:p>
      <w:pPr>
        <w:pStyle w:val="FirstParagraph"/>
      </w:pPr>
      <w:r>
        <w:t xml:space="preserve">Preferred terms:</w:t>
      </w:r>
      <w:r>
        <w:t xml:space="preserve"> </w:t>
      </w:r>
      <w:r>
        <w:t xml:space="preserve">Terms requiring definition:</w:t>
      </w:r>
      <w:r>
        <w:t xml:space="preserve"> </w:t>
      </w:r>
      <w:r>
        <w:t xml:space="preserve">Terms to avoid and why:</w:t>
      </w:r>
    </w:p>
    <w:bookmarkEnd w:id="22"/>
    <w:bookmarkStart w:id="23" w:name="evidence-behavior"/>
    <w:p>
      <w:pPr>
        <w:pStyle w:val="Heading2"/>
      </w:pPr>
      <w:r>
        <w:t xml:space="preserve">Evidence behavior</w:t>
      </w:r>
    </w:p>
    <w:p>
      <w:pPr>
        <w:pStyle w:val="FirstParagraph"/>
      </w:pPr>
      <w:r>
        <w:t xml:space="preserve">Citation style:</w:t>
      </w:r>
      <w:r>
        <w:t xml:space="preserve"> </w:t>
      </w:r>
      <w:r>
        <w:t xml:space="preserve">How to express uncertainty:</w:t>
      </w:r>
      <w:r>
        <w:t xml:space="preserve"> </w:t>
      </w:r>
      <w:r>
        <w:t xml:space="preserve">How to handle missing or conflicting authority:</w:t>
      </w:r>
    </w:p>
    <w:bookmarkEnd w:id="23"/>
    <w:bookmarkStart w:id="24" w:name="structural-preferences"/>
    <w:p>
      <w:pPr>
        <w:pStyle w:val="Heading2"/>
      </w:pPr>
      <w:r>
        <w:t xml:space="preserve">Structural preferences</w:t>
      </w:r>
    </w:p>
    <w:p>
      <w:pPr>
        <w:pStyle w:val="FirstParagraph"/>
      </w:pPr>
      <w:r>
        <w:t xml:space="preserve">Opening pattern:</w:t>
      </w:r>
      <w:r>
        <w:t xml:space="preserve"> </w:t>
      </w:r>
      <w:r>
        <w:t xml:space="preserve">Heading pattern:</w:t>
      </w:r>
      <w:r>
        <w:t xml:space="preserve"> </w:t>
      </w:r>
      <w:r>
        <w:t xml:space="preserve">CTA boundary:</w:t>
      </w:r>
    </w:p>
    <w:bookmarkEnd w:id="24"/>
    <w:bookmarkStart w:id="25" w:name="prohibited-habits"/>
    <w:p>
      <w:pPr>
        <w:pStyle w:val="Heading2"/>
      </w:pPr>
      <w:r>
        <w:t xml:space="preserve">Prohibited habits</w:t>
      </w:r>
    </w:p>
    <w:p>
      <w:pPr>
        <w:pStyle w:val="FirstParagraph"/>
      </w:pPr>
      <w:r>
        <w:t xml:space="preserve">No invented quotations, unsupported certainty, fake consensus, individualized professional advice, guaranteed outcomes, or hidden source substitution.</w:t>
      </w:r>
    </w:p>
    <w:bookmarkEnd w:id="25"/>
    <w:bookmarkStart w:id="26" w:name="review-rules"/>
    <w:p>
      <w:pPr>
        <w:pStyle w:val="Heading2"/>
      </w:pPr>
      <w:r>
        <w:t xml:space="preserve">Review rules</w:t>
      </w:r>
    </w:p>
    <w:p>
      <w:pPr>
        <w:pStyle w:val="FirstParagraph"/>
      </w:pPr>
      <w:r>
        <w:t xml:space="preserve">Required reviewer:</w:t>
      </w:r>
      <w:r>
        <w:t xml:space="preserve"> </w:t>
      </w:r>
      <w:r>
        <w:t xml:space="preserve">Escalation triggers:</w:t>
      </w:r>
      <w:r>
        <w:t xml:space="preserve"> </w:t>
      </w:r>
      <w:r>
        <w:t xml:space="preserve">Approval record location: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2026-08-03T12:23:30Z</dcterms:created>
  <dcterms:modified xsi:type="dcterms:W3CDTF">2026-08-03T12:23:30Z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