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annotated-0001200-script-template"/>
    <w:p>
      <w:pPr>
        <w:pStyle w:val="Heading1"/>
      </w:pPr>
      <w:r>
        <w:t xml:space="preserve">Annotated 0:00–12:00 script template</w:t>
      </w:r>
    </w:p>
    <w:p>
      <w:pPr>
        <w:pStyle w:val="FirstParagraph"/>
      </w:pPr>
      <w:r>
        <w:t xml:space="preserve">Working title:</w:t>
      </w:r>
      <w:r>
        <w:t xml:space="preserve"> </w:t>
      </w:r>
      <w:r>
        <w:t xml:space="preserve">Audience and task:</w:t>
      </w:r>
      <w:r>
        <w:t xml:space="preserve"> </w:t>
      </w:r>
      <w:r>
        <w:t xml:space="preserve">Accountable editor:</w:t>
      </w:r>
      <w:r>
        <w:t xml:space="preserve"> </w:t>
      </w:r>
      <w:r>
        <w:t xml:space="preserve">Source-review cutoff:</w:t>
      </w:r>
      <w:r>
        <w:t xml:space="preserve"> </w:t>
      </w:r>
      <w:r>
        <w:t xml:space="preserve">Platform-policy records used:</w:t>
      </w:r>
    </w:p>
    <w:bookmarkStart w:id="20" w:name="orientation"/>
    <w:p>
      <w:pPr>
        <w:pStyle w:val="Heading2"/>
      </w:pPr>
      <w:r>
        <w:t xml:space="preserve">0:00–0:30 — Orientation</w:t>
      </w:r>
    </w:p>
    <w:p>
      <w:pPr>
        <w:pStyle w:val="FirstParagraph"/>
      </w:pPr>
      <w:r>
        <w:t xml:space="preserve">Instruction: Name the question, audience, material stake, and what the video will not establish.</w:t>
      </w:r>
    </w:p>
    <w:p>
      <w:pPr>
        <w:pStyle w:val="BodyText"/>
      </w:pPr>
      <w:r>
        <w:t xml:space="preserve">Spoken copy:</w:t>
      </w:r>
    </w:p>
    <w:p>
      <w:pPr>
        <w:pStyle w:val="BodyText"/>
      </w:pPr>
      <w:r>
        <w:t xml:space="preserve">Visual/source cue:</w:t>
      </w:r>
    </w:p>
    <w:p>
      <w:pPr>
        <w:pStyle w:val="BodyText"/>
      </w:pPr>
      <w:r>
        <w:t xml:space="preserve">EDSA decision:</w:t>
      </w:r>
    </w:p>
    <w:p>
      <w:pPr>
        <w:pStyle w:val="BodyText"/>
      </w:pPr>
      <w:r>
        <w:t xml:space="preserve">Boundary or reviewer note:</w:t>
      </w:r>
    </w:p>
    <w:bookmarkEnd w:id="20"/>
    <w:bookmarkStart w:id="21" w:name="evidence-anchor"/>
    <w:p>
      <w:pPr>
        <w:pStyle w:val="Heading2"/>
      </w:pPr>
      <w:r>
        <w:t xml:space="preserve">0:30–1:30 — Evidence anchor</w:t>
      </w:r>
    </w:p>
    <w:p>
      <w:pPr>
        <w:pStyle w:val="FirstParagraph"/>
      </w:pPr>
      <w:r>
        <w:t xml:space="preserve">Instruction: State one atomic claim; show source, date, scope, and verification status on screen.</w:t>
      </w:r>
    </w:p>
    <w:p>
      <w:pPr>
        <w:pStyle w:val="BodyText"/>
      </w:pPr>
      <w:r>
        <w:t xml:space="preserve">Spoken copy:</w:t>
      </w:r>
    </w:p>
    <w:p>
      <w:pPr>
        <w:pStyle w:val="BodyText"/>
      </w:pPr>
      <w:r>
        <w:t xml:space="preserve">Visual/source cue:</w:t>
      </w:r>
    </w:p>
    <w:p>
      <w:pPr>
        <w:pStyle w:val="BodyText"/>
      </w:pPr>
      <w:r>
        <w:t xml:space="preserve">EDSA decision:</w:t>
      </w:r>
    </w:p>
    <w:p>
      <w:pPr>
        <w:pStyle w:val="BodyText"/>
      </w:pPr>
      <w:r>
        <w:t xml:space="preserve">Boundary or reviewer note:</w:t>
      </w:r>
    </w:p>
    <w:bookmarkEnd w:id="21"/>
    <w:bookmarkStart w:id="22" w:name="why-it-matters"/>
    <w:p>
      <w:pPr>
        <w:pStyle w:val="Heading2"/>
      </w:pPr>
      <w:r>
        <w:t xml:space="preserve">1:30–2:30 — Why it matters</w:t>
      </w:r>
    </w:p>
    <w:p>
      <w:pPr>
        <w:pStyle w:val="FirstParagraph"/>
      </w:pPr>
      <w:r>
        <w:t xml:space="preserve">Instruction: Connect the claim to a concrete decision without threat inflation or identity pressure.</w:t>
      </w:r>
    </w:p>
    <w:p>
      <w:pPr>
        <w:pStyle w:val="BodyText"/>
      </w:pPr>
      <w:r>
        <w:t xml:space="preserve">Spoken copy:</w:t>
      </w:r>
    </w:p>
    <w:p>
      <w:pPr>
        <w:pStyle w:val="BodyText"/>
      </w:pPr>
      <w:r>
        <w:t xml:space="preserve">Visual/source cue:</w:t>
      </w:r>
    </w:p>
    <w:p>
      <w:pPr>
        <w:pStyle w:val="BodyText"/>
      </w:pPr>
      <w:r>
        <w:t xml:space="preserve">EDSA decision:</w:t>
      </w:r>
    </w:p>
    <w:p>
      <w:pPr>
        <w:pStyle w:val="BodyText"/>
      </w:pPr>
      <w:r>
        <w:t xml:space="preserve">Boundary or reviewer note:</w:t>
      </w:r>
    </w:p>
    <w:bookmarkEnd w:id="22"/>
    <w:bookmarkStart w:id="23" w:name="mechanism-with-limits"/>
    <w:p>
      <w:pPr>
        <w:pStyle w:val="Heading2"/>
      </w:pPr>
      <w:r>
        <w:t xml:space="preserve">2:30–4:00 — Mechanism with limits</w:t>
      </w:r>
    </w:p>
    <w:p>
      <w:pPr>
        <w:pStyle w:val="FirstParagraph"/>
      </w:pPr>
      <w:r>
        <w:t xml:space="preserve">Instruction: Explain the proposed mechanism, competing explanations, boundary conditions, and inference level.</w:t>
      </w:r>
    </w:p>
    <w:p>
      <w:pPr>
        <w:pStyle w:val="BodyText"/>
      </w:pPr>
      <w:r>
        <w:t xml:space="preserve">Spoken copy:</w:t>
      </w:r>
    </w:p>
    <w:p>
      <w:pPr>
        <w:pStyle w:val="BodyText"/>
      </w:pPr>
      <w:r>
        <w:t xml:space="preserve">Visual/source cue:</w:t>
      </w:r>
    </w:p>
    <w:p>
      <w:pPr>
        <w:pStyle w:val="BodyText"/>
      </w:pPr>
      <w:r>
        <w:t xml:space="preserve">EDSA decision:</w:t>
      </w:r>
    </w:p>
    <w:p>
      <w:pPr>
        <w:pStyle w:val="BodyText"/>
      </w:pPr>
      <w:r>
        <w:t xml:space="preserve">Boundary or reviewer note:</w:t>
      </w:r>
    </w:p>
    <w:bookmarkEnd w:id="23"/>
    <w:bookmarkStart w:id="24" w:name="example"/>
    <w:p>
      <w:pPr>
        <w:pStyle w:val="Heading2"/>
      </w:pPr>
      <w:r>
        <w:t xml:space="preserve">4:00–5:30 — Example</w:t>
      </w:r>
    </w:p>
    <w:p>
      <w:pPr>
        <w:pStyle w:val="FirstParagraph"/>
      </w:pPr>
      <w:r>
        <w:t xml:space="preserve">Instruction: Walk through a representative case; label constructed or historical material.</w:t>
      </w:r>
    </w:p>
    <w:p>
      <w:pPr>
        <w:pStyle w:val="BodyText"/>
      </w:pPr>
      <w:r>
        <w:t xml:space="preserve">Spoken copy:</w:t>
      </w:r>
    </w:p>
    <w:p>
      <w:pPr>
        <w:pStyle w:val="BodyText"/>
      </w:pPr>
      <w:r>
        <w:t xml:space="preserve">Visual/source cue:</w:t>
      </w:r>
    </w:p>
    <w:p>
      <w:pPr>
        <w:pStyle w:val="BodyText"/>
      </w:pPr>
      <w:r>
        <w:t xml:space="preserve">EDSA decision:</w:t>
      </w:r>
    </w:p>
    <w:p>
      <w:pPr>
        <w:pStyle w:val="BodyText"/>
      </w:pPr>
      <w:r>
        <w:t xml:space="preserve">Boundary or reviewer note:</w:t>
      </w:r>
    </w:p>
    <w:bookmarkEnd w:id="24"/>
    <w:bookmarkStart w:id="25" w:name="counterexample"/>
    <w:p>
      <w:pPr>
        <w:pStyle w:val="Heading2"/>
      </w:pPr>
      <w:r>
        <w:t xml:space="preserve">5:30–7:00 — Counterexample</w:t>
      </w:r>
    </w:p>
    <w:p>
      <w:pPr>
        <w:pStyle w:val="FirstParagraph"/>
      </w:pPr>
      <w:r>
        <w:t xml:space="preserve">Instruction: Show where the framework fails, where evidence is absent, and what requires escalation.</w:t>
      </w:r>
    </w:p>
    <w:p>
      <w:pPr>
        <w:pStyle w:val="BodyText"/>
      </w:pPr>
      <w:r>
        <w:t xml:space="preserve">Spoken copy:</w:t>
      </w:r>
    </w:p>
    <w:p>
      <w:pPr>
        <w:pStyle w:val="BodyText"/>
      </w:pPr>
      <w:r>
        <w:t xml:space="preserve">Visual/source cue:</w:t>
      </w:r>
    </w:p>
    <w:p>
      <w:pPr>
        <w:pStyle w:val="BodyText"/>
      </w:pPr>
      <w:r>
        <w:t xml:space="preserve">EDSA decision:</w:t>
      </w:r>
    </w:p>
    <w:p>
      <w:pPr>
        <w:pStyle w:val="BodyText"/>
      </w:pPr>
      <w:r>
        <w:t xml:space="preserve">Boundary or reviewer note:</w:t>
      </w:r>
    </w:p>
    <w:bookmarkEnd w:id="25"/>
    <w:bookmarkStart w:id="26" w:name="platform-layer"/>
    <w:p>
      <w:pPr>
        <w:pStyle w:val="Heading2"/>
      </w:pPr>
      <w:r>
        <w:t xml:space="preserve">7:00–8:30 — Platform layer</w:t>
      </w:r>
    </w:p>
    <w:p>
      <w:pPr>
        <w:pStyle w:val="FirstParagraph"/>
      </w:pPr>
      <w:r>
        <w:t xml:space="preserve">Instruction: State only dated first-party eligibility or recommendation information; disclaim reach prediction.</w:t>
      </w:r>
    </w:p>
    <w:p>
      <w:pPr>
        <w:pStyle w:val="BodyText"/>
      </w:pPr>
      <w:r>
        <w:t xml:space="preserve">Spoken copy:</w:t>
      </w:r>
    </w:p>
    <w:p>
      <w:pPr>
        <w:pStyle w:val="BodyText"/>
      </w:pPr>
      <w:r>
        <w:t xml:space="preserve">Visual/source cue:</w:t>
      </w:r>
    </w:p>
    <w:p>
      <w:pPr>
        <w:pStyle w:val="BodyText"/>
      </w:pPr>
      <w:r>
        <w:t xml:space="preserve">EDSA decision:</w:t>
      </w:r>
    </w:p>
    <w:p>
      <w:pPr>
        <w:pStyle w:val="BodyText"/>
      </w:pPr>
      <w:r>
        <w:t xml:space="preserve">Boundary or reviewer note:</w:t>
      </w:r>
    </w:p>
    <w:bookmarkEnd w:id="26"/>
    <w:bookmarkStart w:id="27" w:name="audience-choice"/>
    <w:p>
      <w:pPr>
        <w:pStyle w:val="Heading2"/>
      </w:pPr>
      <w:r>
        <w:t xml:space="preserve">8:30–10:00 — Audience choice</w:t>
      </w:r>
    </w:p>
    <w:p>
      <w:pPr>
        <w:pStyle w:val="FirstParagraph"/>
      </w:pPr>
      <w:r>
        <w:t xml:space="preserve">Instruction: Identify who may use, pause, reject, or seek another source; disclose material interests.</w:t>
      </w:r>
    </w:p>
    <w:p>
      <w:pPr>
        <w:pStyle w:val="BodyText"/>
      </w:pPr>
      <w:r>
        <w:t xml:space="preserve">Spoken copy:</w:t>
      </w:r>
    </w:p>
    <w:p>
      <w:pPr>
        <w:pStyle w:val="BodyText"/>
      </w:pPr>
      <w:r>
        <w:t xml:space="preserve">Visual/source cue:</w:t>
      </w:r>
    </w:p>
    <w:p>
      <w:pPr>
        <w:pStyle w:val="BodyText"/>
      </w:pPr>
      <w:r>
        <w:t xml:space="preserve">EDSA decision:</w:t>
      </w:r>
    </w:p>
    <w:p>
      <w:pPr>
        <w:pStyle w:val="BodyText"/>
      </w:pPr>
      <w:r>
        <w:t xml:space="preserve">Boundary or reviewer note:</w:t>
      </w:r>
    </w:p>
    <w:bookmarkEnd w:id="27"/>
    <w:bookmarkStart w:id="28" w:name="bounded-action"/>
    <w:p>
      <w:pPr>
        <w:pStyle w:val="Heading2"/>
      </w:pPr>
      <w:r>
        <w:t xml:space="preserve">10:00–11:15 — Bounded action</w:t>
      </w:r>
    </w:p>
    <w:p>
      <w:pPr>
        <w:pStyle w:val="FirstParagraph"/>
      </w:pPr>
      <w:r>
        <w:t xml:space="preserve">Instruction: Offer one proportionate action with owner, inputs, stop condition, and review point.</w:t>
      </w:r>
    </w:p>
    <w:p>
      <w:pPr>
        <w:pStyle w:val="BodyText"/>
      </w:pPr>
      <w:r>
        <w:t xml:space="preserve">Spoken copy:</w:t>
      </w:r>
    </w:p>
    <w:p>
      <w:pPr>
        <w:pStyle w:val="BodyText"/>
      </w:pPr>
      <w:r>
        <w:t xml:space="preserve">Visual/source cue:</w:t>
      </w:r>
    </w:p>
    <w:p>
      <w:pPr>
        <w:pStyle w:val="BodyText"/>
      </w:pPr>
      <w:r>
        <w:t xml:space="preserve">EDSA decision:</w:t>
      </w:r>
    </w:p>
    <w:p>
      <w:pPr>
        <w:pStyle w:val="BodyText"/>
      </w:pPr>
      <w:r>
        <w:t xml:space="preserve">Boundary or reviewer note:</w:t>
      </w:r>
    </w:p>
    <w:bookmarkEnd w:id="28"/>
    <w:bookmarkStart w:id="29" w:name="recap-and-provenance"/>
    <w:p>
      <w:pPr>
        <w:pStyle w:val="Heading2"/>
      </w:pPr>
      <w:r>
        <w:t xml:space="preserve">11:15–12:00 — Recap and provenance</w:t>
      </w:r>
    </w:p>
    <w:p>
      <w:pPr>
        <w:pStyle w:val="FirstParagraph"/>
      </w:pPr>
      <w:r>
        <w:t xml:space="preserve">Instruction: Repeat claim, uncertainty, sources, date, corrections path, and what the content cannot establish.</w:t>
      </w:r>
    </w:p>
    <w:p>
      <w:pPr>
        <w:pStyle w:val="BodyText"/>
      </w:pPr>
      <w:r>
        <w:t xml:space="preserve">Spoken copy:</w:t>
      </w:r>
    </w:p>
    <w:p>
      <w:pPr>
        <w:pStyle w:val="BodyText"/>
      </w:pPr>
      <w:r>
        <w:t xml:space="preserve">Visual/source cue:</w:t>
      </w:r>
    </w:p>
    <w:p>
      <w:pPr>
        <w:pStyle w:val="BodyText"/>
      </w:pPr>
      <w:r>
        <w:t xml:space="preserve">EDSA decision:</w:t>
      </w:r>
    </w:p>
    <w:p>
      <w:pPr>
        <w:pStyle w:val="BodyText"/>
      </w:pPr>
      <w:r>
        <w:t xml:space="preserve">Boundary or reviewer note:</w:t>
      </w:r>
    </w:p>
    <w:bookmarkEnd w:id="29"/>
    <w:bookmarkStart w:id="30" w:name="final-review"/>
    <w:p>
      <w:pPr>
        <w:pStyle w:val="Heading2"/>
      </w:pPr>
      <w:r>
        <w:t xml:space="preserve">Final review</w:t>
      </w:r>
    </w:p>
    <w:p>
      <w:pPr>
        <w:pStyle w:val="FirstParagraph"/>
      </w:pPr>
      <w:r>
        <w:t xml:space="preserve">Decision: approve / revise / reject / escalate</w:t>
      </w:r>
      <w:r>
        <w:t xml:space="preserve"> </w:t>
      </w:r>
      <w:r>
        <w:t xml:space="preserve">Reviewer and date:</w:t>
      </w:r>
      <w:r>
        <w:t xml:space="preserve"> </w:t>
      </w:r>
      <w:r>
        <w:t xml:space="preserve">Unresolved claims:</w:t>
      </w:r>
      <w:r>
        <w:t xml:space="preserve"> </w:t>
      </w:r>
      <w:r>
        <w:t xml:space="preserve">Correction destination: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2026-08-03T12:40:40Z</dcterms:created>
  <dcterms:modified xsi:type="dcterms:W3CDTF">2026-08-03T12:40:40Z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