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Platform-Risk Appeal and Review Worksheets</w:t>
      </w:r>
    </w:p>
    <w:bookmarkStart w:id="20" w:name="appeal-record"/>
    <w:p>
      <w:pPr>
        <w:pStyle w:val="Heading1"/>
      </w:pPr>
      <w:r>
        <w:t xml:space="preserve">Appeal record</w:t>
      </w:r>
    </w:p>
    <w:p>
      <w:pPr>
        <w:pStyle w:val="FirstParagraph"/>
      </w:pPr>
      <w:r>
        <w:t xml:space="preserve">Platform/account/content ID: ____</w:t>
      </w:r>
      <w:r>
        <w:t xml:space="preserve"> </w:t>
      </w:r>
      <w:r>
        <w:t xml:space="preserve">Notice or eligibility evidence + timestamp: ____</w:t>
      </w:r>
      <w:r>
        <w:t xml:space="preserve"> </w:t>
      </w:r>
      <w:r>
        <w:t xml:space="preserve">Exact policy and version/retrieval date: ____</w:t>
      </w:r>
      <w:r>
        <w:t xml:space="preserve"> </w:t>
      </w:r>
      <w:r>
        <w:t xml:space="preserve">Observed facts: ____</w:t>
      </w:r>
      <w:r>
        <w:t xml:space="preserve"> </w:t>
      </w:r>
      <w:r>
        <w:t xml:space="preserve">Inference (separate): ____</w:t>
      </w:r>
      <w:r>
        <w:t xml:space="preserve"> </w:t>
      </w:r>
      <w:r>
        <w:t xml:space="preserve">Alternative explanations tested: ____</w:t>
      </w:r>
      <w:r>
        <w:t xml:space="preserve"> </w:t>
      </w:r>
      <w:r>
        <w:t xml:space="preserve">Requested review/correction: ____</w:t>
      </w:r>
      <w:r>
        <w:t xml:space="preserve"> </w:t>
      </w:r>
      <w:r>
        <w:t xml:space="preserve">Submission channel/time/confirmation: ____</w:t>
      </w:r>
      <w:r>
        <w:t xml:space="preserve"> </w:t>
      </w:r>
      <w:r>
        <w:t xml:space="preserve">Outcome and evidence: ____</w:t>
      </w:r>
      <w:r>
        <w:t xml:space="preserve"> </w:t>
      </w:r>
      <w:r>
        <w:t xml:space="preserve">Owner/reviewer: ____</w:t>
      </w:r>
    </w:p>
    <w:bookmarkEnd w:id="20"/>
    <w:bookmarkStart w:id="21" w:name="monthly-review-record"/>
    <w:p>
      <w:pPr>
        <w:pStyle w:val="Heading1"/>
      </w:pPr>
      <w:r>
        <w:t xml:space="preserve">Monthly review record</w:t>
      </w:r>
    </w:p>
    <w:p>
      <w:pPr>
        <w:pStyle w:val="FirstParagraph"/>
      </w:pPr>
      <w:r>
        <w:t xml:space="preserve">Period/comparable set: ____ · data-health result: ____ · mean/SD/LCL: ____ · current value: ____ · official status: ____ · classification: Observe / Investigate / Respond · next test/owner/date: ____ · boundary confirmed: signal is not proof; no outcome promised.</w:t>
      </w:r>
    </w:p>
    <w:bookmarkEnd w:id="21"/>
    <w:bookmarkStart w:id="22" w:name="exact-45-minute-monthly-review"/>
    <w:p>
      <w:pPr>
        <w:pStyle w:val="Heading1"/>
      </w:pPr>
      <w:r>
        <w:t xml:space="preserve">Exact 45-minute monthly review</w:t>
      </w:r>
    </w:p>
    <w:p>
      <w:pPr>
        <w:pStyle w:val="FirstParagraph"/>
      </w:pPr>
      <w:r>
        <w:t xml:space="preserve">0:00–05:00 — regulate the room: restate the no-causal-certainty boundary; assign facilitator and recorder.</w:t>
      </w:r>
      <w:r>
        <w:t xml:space="preserve"> </w:t>
      </w:r>
      <w:r>
        <w:t xml:space="preserve">05:00–15:00 — verify data health, exports, dates, content IDs, campaign effects, outages, and missingness.</w:t>
      </w:r>
      <w:r>
        <w:t xml:space="preserve"> </w:t>
      </w:r>
      <w:r>
        <w:t xml:space="preserve">15:00–25:00 — recalculate baselines and control limits from comparable content; flag signals without naming a cause.</w:t>
      </w:r>
      <w:r>
        <w:t xml:space="preserve"> </w:t>
      </w:r>
      <w:r>
        <w:t xml:space="preserve">25:00–33:00 — inspect native account-status, eligibility, enforcement, and appeal surfaces; preserve dated evidence.</w:t>
      </w:r>
      <w:r>
        <w:t xml:space="preserve"> </w:t>
      </w:r>
      <w:r>
        <w:t xml:space="preserve">33:00–39:00 — test alternative explanations: content mix, seasonality, paid activity, audience, creative, frequency, tracking, and ordinary ranking variation.</w:t>
      </w:r>
      <w:r>
        <w:t xml:space="preserve"> </w:t>
      </w:r>
      <w:r>
        <w:t xml:space="preserve">39:00–43:00 — classify Observe / Investigate / Respond; assign owner, evidence gap, next test, and stop condition.</w:t>
      </w:r>
      <w:r>
        <w:t xml:space="preserve"> </w:t>
      </w:r>
      <w:r>
        <w:t xml:space="preserve">43:00–45:00 — schedule follow-up, export the record, and confirm no diagnosis, hidden-system certainty, appeal success, or restored reach was promised.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Platform-Risk Appeal and Review Worksheets</dc:title>
  <dc:creator/>
  <cp:keywords/>
  <dcterms:created xsi:type="dcterms:W3CDTF">2026-08-03T17:03:31Z</dcterms:created>
  <dcterms:modified xsi:type="dcterms:W3CDTF">2026-08-03T17:03:31Z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