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600" w:after="360"/>
      </w:pPr>
      <w:r>
        <w:rPr>
          <w:rFonts w:ascii="Aptos" w:hAnsi="Aptos"/>
          <w:b/>
          <w:i w:val="0"/>
          <w:color w:val="087C76"/>
          <w:sz w:val="18"/>
        </w:rPr>
        <w:t>REAL CHEMISTRY / INTERNAL DISCUSSION</w:t>
      </w:r>
    </w:p>
    <w:p>
      <w:pPr>
        <w:pStyle w:val="Title"/>
      </w:pPr>
      <w:r>
        <w:rPr>
          <w:rFonts w:ascii="Aptos Display" w:hAnsi="Aptos Display"/>
          <w:b w:val="0"/>
          <w:i w:val="0"/>
          <w:color w:val="10242B"/>
          <w:sz w:val="60"/>
        </w:rPr>
        <w:t>Inflection Radar</w:t>
      </w:r>
    </w:p>
    <w:p>
      <w:pPr>
        <w:pStyle w:val="Subtitle"/>
      </w:pPr>
      <w:r>
        <w:rPr>
          <w:rFonts w:ascii="Aptos" w:hAnsi="Aptos"/>
          <w:b w:val="0"/>
          <w:i w:val="0"/>
          <w:color w:val="586A6F"/>
          <w:sz w:val="26"/>
        </w:rPr>
        <w:t>Executive decision brief for an eight-week emerging neuropsychiatry opportunity-intelligence pilot</w:t>
      </w:r>
    </w:p>
    <w:p>
      <w:pPr>
        <w:spacing w:after="400"/>
        <w:pBdr>
          <w:bottom w:val="single" w:sz="18" w:space="1" w:color="EF6D5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600"/>
        <w:gridCol w:w="2880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Prepared for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Prepared by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Version</w:t>
            </w:r>
          </w:p>
        </w:tc>
      </w:tr>
      <w:tr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Will Hargreaves / Real Chemistry</w:t>
            </w:r>
          </w:p>
        </w:tc>
        <w:tc>
          <w:tcPr>
            <w:tcW w:type="dxa" w:w="36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Rayven-Nikkita Collins</w:t>
            </w:r>
          </w:p>
        </w:tc>
        <w:tc>
          <w:tcPr>
            <w:tcW w:type="dxa" w:w="288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28 July 2026 · v2.0</w:t>
            </w:r>
          </w:p>
        </w:tc>
      </w:tr>
    </w:tbl>
    <w:p>
      <w:pPr>
        <w:spacing w:after="0"/>
      </w:pPr>
    </w:p>
    <w:p>
      <w:pPr>
        <w:spacing w:before="480"/>
        <w:ind w:left="360" w:right="720"/>
      </w:pPr>
      <w:r>
        <w:rPr>
          <w:rFonts w:ascii="Aptos Display" w:hAnsi="Aptos Display"/>
          <w:b/>
          <w:i w:val="0"/>
          <w:color w:val="10242B"/>
          <w:sz w:val="30"/>
        </w:rPr>
        <w:t>The public evidence establishes what Real Chemistry already demonstrates. It does not resolve what only Real Chemistry can know. Pilot 1 is designed around that boundary.</w:t>
      </w:r>
    </w:p>
    <w:p>
      <w:r>
        <w:br w:type="page"/>
      </w:r>
    </w:p>
    <w:p>
      <w:pPr>
        <w:pStyle w:val="Heading1"/>
      </w:pPr>
      <w:r>
        <w:t>The decision on the table</w:t>
      </w:r>
    </w:p>
    <w:p>
      <w:r>
        <w:rPr>
          <w:rFonts w:ascii="Aptos" w:hAnsi="Aptos"/>
          <w:b w:val="0"/>
          <w:i w:val="0"/>
          <w:color w:val="10242B"/>
          <w:sz w:val="21"/>
        </w:rPr>
        <w:t>Approve the scope and minimal inputs for Pilot 1. No production integration, internal data, CRM connection, licensed Real Chemistry database, or ANATOMI build is required.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87C76"/>
                <w:sz w:val="16"/>
              </w:rPr>
              <w:t>DECISION REQUESTED</w:t>
            </w:r>
          </w:p>
        </w:tc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20"/>
              </w:rPr>
              <w:t>Proceed with a 50–75-company public-source research universe and a 12–15-account human-reviewed priority portfolio.</w:t>
            </w:r>
          </w:p>
        </w:tc>
      </w:tr>
    </w:tbl>
    <w:p>
      <w:pPr>
        <w:spacing w:after="0"/>
      </w:pPr>
    </w:p>
    <w:p>
      <w:pPr>
        <w:pStyle w:val="Heading2"/>
      </w:pPr>
      <w:r>
        <w:t>What approval does not include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A production AI product or autonomous target-selection system.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Use of client-confidential, patient-level, licensed-restricted, or internal Real Chemistry data.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ANATOMI, CRM, or production engineering integration.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A claim that Real Chemistry lacks AI, analytics, intelligence, monitoring, or growth capability.</w:t>
      </w:r>
    </w:p>
    <w:p>
      <w:pPr>
        <w:pStyle w:val="Heading2"/>
      </w:pPr>
      <w:r>
        <w:t>The precise candidate white space</w:t>
      </w:r>
    </w:p>
    <w:p>
      <w:r>
        <w:rPr>
          <w:rFonts w:ascii="Aptos" w:hAnsi="Aptos"/>
          <w:b w:val="0"/>
          <w:i w:val="0"/>
          <w:color w:val="10242B"/>
          <w:sz w:val="21"/>
        </w:rPr>
        <w:t>Real Chemistry publicly demonstrates nearly all technical and analytical ingredients. What is not publicly demonstrated is a unified, owned growth workflow that organizes early external company evidence around prospective-account decisions.</w:t>
      </w:r>
    </w:p>
    <w:p>
      <w:pPr>
        <w:pStyle w:val="Heading1"/>
      </w:pPr>
      <w:r>
        <w:t>Will’s diligence questions: direct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Question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Answer</w:t>
            </w:r>
          </w:p>
        </w:tc>
      </w:tr>
      <w:tr>
        <w:tc>
          <w:tcPr>
            <w:tcW w:type="dxa" w:w="19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AI model</w:t>
            </w:r>
          </w:p>
        </w:tc>
        <w:tc>
          <w:tcPr>
            <w:tcW w:type="dxa" w:w="77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 governed model-task portfolio, not one model for every task. AI may assist bounded extraction, comparison, classification, contradiction detection, and draft synthesis. Humans retain consequential authority.</w:t>
            </w:r>
          </w:p>
        </w:tc>
      </w:tr>
      <w:tr>
        <w:tc>
          <w:tcPr>
            <w:tcW w:type="dxa" w:w="194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Assumptions</w:t>
            </w:r>
          </w:p>
        </w:tc>
        <w:tc>
          <w:tcPr>
            <w:tcW w:type="dxa" w:w="770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Every material assumption is registered and labeled evidence-supported, methodological, provisional, or internal-calibration-required.</w:t>
            </w:r>
          </w:p>
        </w:tc>
      </w:tr>
      <w:tr>
        <w:tc>
          <w:tcPr>
            <w:tcW w:type="dxa" w:w="19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Sources and permissions</w:t>
            </w:r>
          </w:p>
        </w:tc>
        <w:tc>
          <w:tcPr>
            <w:tcW w:type="dxa" w:w="77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Pilot 1 defaults to official, first-party, public-domain, and properly permitted sources. Rights and restrictions travel with every record and derived output.</w:t>
            </w:r>
          </w:p>
        </w:tc>
      </w:tr>
      <w:tr>
        <w:tc>
          <w:tcPr>
            <w:tcW w:type="dxa" w:w="194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Compliance</w:t>
            </w:r>
          </w:p>
        </w:tc>
        <w:tc>
          <w:tcPr>
            <w:tcW w:type="dxa" w:w="770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Company-level research; no PHI. Restricted sources are excluded by default. Human gates, audit records, and escalation pathways preserve healthcare, privacy, security, and AI-governance boundaries.</w:t>
            </w:r>
          </w:p>
        </w:tc>
      </w:tr>
      <w:tr>
        <w:tc>
          <w:tcPr>
            <w:tcW w:type="dxa" w:w="19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Reliability and limits</w:t>
            </w:r>
          </w:p>
        </w:tc>
        <w:tc>
          <w:tcPr>
            <w:tcW w:type="dxa" w:w="77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Facts, findings, inferences, and hypotheses remain distinct. Public evidence can support review priority; it cannot establish clients, conflicts, relationships, economics, capacity, or pursuit history.</w:t>
            </w:r>
          </w:p>
        </w:tc>
      </w:tr>
    </w:tbl>
    <w:p>
      <w:pPr>
        <w:spacing w:after="0"/>
      </w:pPr>
    </w:p>
    <w:p>
      <w:pPr>
        <w:pStyle w:val="Heading1"/>
      </w:pPr>
      <w:r>
        <w:t>What Pilot 1 produces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824"/>
        <w:gridCol w:w="3240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Scale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Outputs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8 weeks</w:t>
            </w:r>
          </w:p>
        </w:tc>
        <w:tc>
          <w:tcPr>
            <w:tcW w:type="dxa" w:w="482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Company universe; 12–15 priority dossiers; external opportunity score; rejected/deferred list; recommendation.</w:t>
            </w:r>
          </w:p>
        </w:tc>
        <w:tc>
          <w:tcPr>
            <w:tcW w:type="dxa" w:w="32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No production integration.</w:t>
            </w:r>
          </w:p>
        </w:tc>
      </w:tr>
      <w:tr>
        <w:tc>
          <w:tcPr>
            <w:tcW w:type="dxa" w:w="158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50–75 companies</w:t>
            </w:r>
          </w:p>
        </w:tc>
        <w:tc>
          <w:tcPr>
            <w:tcW w:type="dxa" w:w="482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Source-permission, assumption, evidence, and model-task registers.</w:t>
            </w:r>
          </w:p>
        </w:tc>
        <w:tc>
          <w:tcPr>
            <w:tcW w:type="dxa" w:w="32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No internal or client-confidential data.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Human-reviewed portfolio</w:t>
            </w:r>
          </w:p>
        </w:tc>
        <w:tc>
          <w:tcPr>
            <w:tcW w:type="dxa" w:w="482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Advance, monitor, defer, exclude, redirect, or insufficient-evidence dispositions.</w:t>
            </w:r>
          </w:p>
        </w:tc>
        <w:tc>
          <w:tcPr>
            <w:tcW w:type="dxa" w:w="32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No automated pursuit decision.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87C76"/>
                <w:sz w:val="16"/>
              </w:rPr>
              <w:t>EXTERNAL QUESTION</w:t>
            </w:r>
          </w:p>
        </w:tc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20"/>
              </w:rPr>
              <w:t>Which companies appear externally attractive for Real Chemistry review?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4939"/>
            <w:shd w:fill="F7E9E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87C76"/>
                <w:sz w:val="16"/>
              </w:rPr>
              <w:t>INTERNAL QUESTION</w:t>
            </w:r>
          </w:p>
        </w:tc>
        <w:tc>
          <w:tcPr>
            <w:tcW w:type="dxa" w:w="4939"/>
            <w:shd w:fill="F7E9E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20"/>
              </w:rPr>
              <w:t>Which externally attractive companies are plausible internal pursuits?</w:t>
            </w:r>
          </w:p>
        </w:tc>
      </w:tr>
    </w:tbl>
    <w:p>
      <w:pPr>
        <w:spacing w:after="0"/>
      </w:pPr>
    </w:p>
    <w:p>
      <w:pPr>
        <w:pStyle w:val="Heading1"/>
      </w:pPr>
      <w:r>
        <w:t>Three-stage progression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736"/>
        <w:gridCol w:w="2592"/>
      </w:tblGrid>
      <w:tr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Stage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RN builds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Real Chemistry contributes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Decision</w:t>
            </w:r>
          </w:p>
        </w:tc>
      </w:tr>
      <w:tr>
        <w:tc>
          <w:tcPr>
            <w:tcW w:type="dxa" w:w="165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Discover / Pilot 1</w:t>
            </w:r>
          </w:p>
        </w:tc>
        <w:tc>
          <w:tcPr>
            <w:tcW w:type="dxa" w:w="266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Universe, ontology, evidence architecture, external score, dossiers, registers.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Scope, geography, stage, reader, public priorities, success standard.</w:t>
            </w:r>
          </w:p>
        </w:tc>
        <w:tc>
          <w:tcPr>
            <w:tcW w:type="dxa" w:w="25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Which companies warrant review?</w:t>
            </w:r>
          </w:p>
        </w:tc>
      </w:tr>
      <w:tr>
        <w:tc>
          <w:tcPr>
            <w:tcW w:type="dxa" w:w="165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Qualify / conditional</w:t>
            </w:r>
          </w:p>
        </w:tc>
        <w:tc>
          <w:tcPr>
            <w:tcW w:type="dxa" w:w="266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Internal viability layer and calibrated review workflow.</w:t>
            </w:r>
          </w:p>
        </w:tc>
        <w:tc>
          <w:tcPr>
            <w:tcW w:type="dxa" w:w="273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Clients, pursuits, conflicts, ownership, thresholds, economics, judgment.</w:t>
            </w:r>
          </w:p>
        </w:tc>
        <w:tc>
          <w:tcPr>
            <w:tcW w:type="dxa" w:w="25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Which are plausible pursuits?</w:t>
            </w:r>
          </w:p>
        </w:tc>
      </w:tr>
      <w:tr>
        <w:tc>
          <w:tcPr>
            <w:tcW w:type="dxa" w:w="165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Institutionalize / conditional</w:t>
            </w:r>
          </w:p>
        </w:tc>
        <w:tc>
          <w:tcPr>
            <w:tcW w:type="dxa" w:w="266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Monitoring, queues, outcome capture, recalibration design.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Approved systems, CRM, data feeds, ownership decisions.</w:t>
            </w:r>
          </w:p>
        </w:tc>
        <w:tc>
          <w:tcPr>
            <w:tcW w:type="dxa" w:w="25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Should this become persistent?</w:t>
            </w:r>
          </w:p>
        </w:tc>
      </w:tr>
    </w:tbl>
    <w:p>
      <w:pPr>
        <w:spacing w:after="0"/>
      </w:pPr>
    </w:p>
    <w:p>
      <w:pPr>
        <w:pStyle w:val="Heading2"/>
      </w:pPr>
      <w:r>
        <w:t>Eight-week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1</w:t>
            </w:r>
          </w:p>
        </w:tc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2</w:t>
            </w:r>
          </w:p>
        </w:tc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3</w:t>
            </w:r>
          </w:p>
        </w:tc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4</w:t>
            </w:r>
          </w:p>
        </w:tc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5</w:t>
            </w:r>
          </w:p>
        </w:tc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6</w:t>
            </w:r>
          </w:p>
        </w:tc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7</w:t>
            </w:r>
          </w:p>
        </w:tc>
        <w:tc>
          <w:tcPr>
            <w:tcW w:type="dxa" w:w="1235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8</w:t>
            </w:r>
          </w:p>
        </w:tc>
      </w:tr>
      <w:tr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Scope</w:t>
            </w:r>
          </w:p>
        </w:tc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Taxonomy</w:t>
            </w:r>
          </w:p>
        </w:tc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Universe</w:t>
            </w:r>
          </w:p>
        </w:tc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Verify</w:t>
            </w:r>
          </w:p>
        </w:tc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Score</w:t>
            </w:r>
          </w:p>
        </w:tc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Dossiers</w:t>
            </w:r>
          </w:p>
        </w:tc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Portfolio</w:t>
            </w:r>
          </w:p>
        </w:tc>
        <w:tc>
          <w:tcPr>
            <w:tcW w:type="dxa" w:w="121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Handoff</w:t>
            </w:r>
          </w:p>
        </w:tc>
      </w:tr>
    </w:tbl>
    <w:p>
      <w:pPr>
        <w:spacing w:after="0"/>
      </w:pPr>
    </w:p>
    <w:p>
      <w:pPr>
        <w:pStyle w:val="Heading1"/>
      </w:pPr>
      <w:r>
        <w:t>Safeguards and evaluation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Five human gates: source approval, record validation, analytical approval, account review, and distribution approval.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Four evidence tiers: verified fact, corroborated finding, analytical inference, and hypothesis or early signal.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Score sensitivity, missing-data review, contradiction review, staleness checks, baseline comparison, and false-positive analysis.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Success means a defensible and useful internal review portfolio—not a promise that every ranked company becomes an account.</w:t>
      </w:r>
    </w:p>
    <w:p>
      <w:pPr>
        <w:pStyle w:val="Heading1"/>
      </w:pPr>
      <w:r>
        <w:t>What RN needs from Will 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Input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Scope</w:t>
            </w:r>
          </w:p>
        </w:tc>
        <w:tc>
          <w:tcPr>
            <w:tcW w:type="dxa" w:w="67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Defines the therapeutic and company universe.</w:t>
            </w:r>
          </w:p>
        </w:tc>
      </w:tr>
      <w:tr>
        <w:tc>
          <w:tcPr>
            <w:tcW w:type="dxa" w:w="288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Intended reader</w:t>
            </w:r>
          </w:p>
        </w:tc>
        <w:tc>
          <w:tcPr>
            <w:tcW w:type="dxa" w:w="676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Determines depth, language, and format.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Public service priorities</w:t>
            </w:r>
          </w:p>
        </w:tc>
        <w:tc>
          <w:tcPr>
            <w:tcW w:type="dxa" w:w="67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Constrains capability mapping without relying on internal data.</w:t>
            </w:r>
          </w:p>
        </w:tc>
      </w:tr>
      <w:tr>
        <w:tc>
          <w:tcPr>
            <w:tcW w:type="dxa" w:w="288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Success standard</w:t>
            </w:r>
          </w:p>
        </w:tc>
        <w:tc>
          <w:tcPr>
            <w:tcW w:type="dxa" w:w="676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7"/>
              </w:rPr>
              <w:t>Defines what a useful portfolio must enable.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87C76"/>
                <w:sz w:val="16"/>
              </w:rPr>
              <w:t>DECISION</w:t>
            </w:r>
          </w:p>
        </w:tc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20"/>
              </w:rPr>
              <w:t>Approve Discover/Pilot 1 first. Reserve internal calibration, ANATOMI, CRM, licensed-source enrichment, and production integration for a later decision.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526"/>
    </w:tblGrid>
    <w:tr>
      <w:tc>
        <w:tcPr>
          <w:tcW w:type="dxa" w:w="4939"/>
          <w:vAlign w:val="top"/>
          <w:tcMar>
            <w:top w:w="100" w:type="dxa"/>
            <w:start w:w="120" w:type="dxa"/>
            <w:bottom w:w="100" w:type="dxa"/>
            <w:end w:w="120" w:type="dxa"/>
          </w:tcMar>
          <w:tcBorders/>
        </w:tcPr>
        <w:p>
          <w:pPr>
            <w:spacing w:after="0"/>
          </w:pPr>
          <w:r/>
          <w:r>
            <w:rPr>
              <w:rFonts w:ascii="Aptos" w:hAnsi="Aptos"/>
              <w:b w:val="0"/>
              <w:i w:val="0"/>
              <w:color w:val="586A6F"/>
              <w:sz w:val="15"/>
            </w:rPr>
            <w:t>Prepared for Will Hargreaves / Real Chemistry</w:t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86A6F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5" w:color="C9D5D1"/>
      </w:pBdr>
    </w:pPr>
    <w:r>
      <w:rPr>
        <w:rFonts w:ascii="Aptos" w:hAnsi="Aptos"/>
        <w:b/>
        <w:i w:val="0"/>
        <w:color w:val="087C76"/>
        <w:sz w:val="16"/>
      </w:rPr>
      <w:t>INFLECTION RADAR</w:t>
    </w:r>
    <w:r>
      <w:rPr>
        <w:rFonts w:ascii="Aptos" w:hAnsi="Aptos"/>
        <w:b w:val="0"/>
        <w:i w:val="0"/>
        <w:color w:val="586A6F"/>
        <w:sz w:val="16"/>
      </w:rPr>
      <w:t xml:space="preserve">   /   EXECUTIVE DECISION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0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4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87C7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024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024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86A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Inflection Radar</dc:subject>
  <dc:creator>Rayven-Nikkita Collins</dc:creator>
  <cp:keywords>Real Chemistry; Pilot 1; opportunity intelligence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