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600" w:after="360"/>
      </w:pPr>
      <w:r>
        <w:rPr>
          <w:rFonts w:ascii="Aptos" w:hAnsi="Aptos"/>
          <w:b/>
          <w:i w:val="0"/>
          <w:color w:val="087C76"/>
          <w:sz w:val="18"/>
        </w:rPr>
        <w:t>REAL CHEMISTRY / INTERNAL DISCUSSION</w:t>
      </w:r>
    </w:p>
    <w:p>
      <w:pPr>
        <w:pStyle w:val="Title"/>
      </w:pPr>
      <w:r>
        <w:rPr>
          <w:rFonts w:ascii="Aptos Display" w:hAnsi="Aptos Display"/>
          <w:b w:val="0"/>
          <w:i w:val="0"/>
          <w:color w:val="10242B"/>
          <w:sz w:val="60"/>
        </w:rPr>
        <w:t>Inflection Radar</w:t>
      </w:r>
    </w:p>
    <w:p>
      <w:pPr>
        <w:pStyle w:val="Subtitle"/>
      </w:pPr>
      <w:r>
        <w:rPr>
          <w:rFonts w:ascii="Aptos" w:hAnsi="Aptos"/>
          <w:b w:val="0"/>
          <w:i w:val="0"/>
          <w:color w:val="586A6F"/>
          <w:sz w:val="26"/>
        </w:rPr>
        <w:t>Emerging Neuropsychiatry Opportunity Intelligence · Internal research report</w:t>
      </w:r>
    </w:p>
    <w:p>
      <w:pPr>
        <w:spacing w:after="400"/>
        <w:pBdr>
          <w:bottom w:val="single" w:sz="18" w:space="1" w:color="EF6D5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600"/>
        <w:gridCol w:w="2880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Prepared for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Prepared by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Version</w:t>
            </w:r>
          </w:p>
        </w:tc>
      </w:tr>
      <w:tr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Will Hargreaves / Real Chemistry</w:t>
            </w:r>
          </w:p>
        </w:tc>
        <w:tc>
          <w:tcPr>
            <w:tcW w:type="dxa" w:w="36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Rayven-Nikkita Collins</w:t>
            </w:r>
          </w:p>
        </w:tc>
        <w:tc>
          <w:tcPr>
            <w:tcW w:type="dxa" w:w="288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28 July 2026 · v2.0</w:t>
            </w:r>
          </w:p>
        </w:tc>
      </w:tr>
    </w:tbl>
    <w:p>
      <w:pPr>
        <w:spacing w:after="0"/>
      </w:pPr>
    </w:p>
    <w:p>
      <w:pPr>
        <w:spacing w:before="480"/>
        <w:ind w:left="360" w:right="720"/>
      </w:pPr>
      <w:r>
        <w:rPr>
          <w:rFonts w:ascii="Aptos Display" w:hAnsi="Aptos Display"/>
          <w:b/>
          <w:i w:val="0"/>
          <w:color w:val="10242B"/>
          <w:sz w:val="30"/>
        </w:rPr>
        <w:t>The public evidence establishes what Real Chemistry already demonstrates. It does not resolve what only Real Chemistry can know. Pilot 1 is designed around that boundary.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Aptos" w:hAnsi="Aptos"/>
          <w:b w:val="0"/>
          <w:i w:val="0"/>
          <w:color w:val="10242B"/>
          <w:sz w:val="21"/>
        </w:rPr>
        <w:t>Pilot 1 is an eight-week, public-source research engagement covering a 50–75-company universe and producing a human-reviewed portfolio of 12–15 priority accounts. It can be completed without ANATOMI, CRM, internal Real Chemistry data, licensed Real Chemistry databases, or production engineering.</w:t>
      </w:r>
    </w:p>
    <w:p>
      <w:r>
        <w:rPr>
          <w:rFonts w:ascii="Aptos" w:hAnsi="Aptos"/>
          <w:b w:val="0"/>
          <w:i w:val="0"/>
          <w:color w:val="10242B"/>
          <w:sz w:val="21"/>
        </w:rPr>
        <w:t>The defensible white-space conclusion is narrow: Real Chemistry publicly demonstrates nearly all technical and analytical ingredients required for an emerging-company opportunity system. The public record does not establish a unified, owned growth workflow organized around the upstream decision of which emerging companies merit attention now, why, and which practice should inspect the opportunity.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4939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87C76"/>
                <w:sz w:val="16"/>
              </w:rPr>
              <w:t>PROTECTED DISTINCTION</w:t>
            </w:r>
          </w:p>
        </w:tc>
        <w:tc>
          <w:tcPr>
            <w:tcW w:type="dxa" w:w="4939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20"/>
              </w:rPr>
              <w:t>Pilot 1 asks which companies appear externally attractive for review. A later internal-calibration phase asks which are plausible internal pursuits.</w:t>
            </w:r>
          </w:p>
        </w:tc>
      </w:tr>
    </w:tbl>
    <w:p>
      <w:pPr>
        <w:spacing w:after="0"/>
      </w:pPr>
    </w:p>
    <w:p>
      <w:pPr>
        <w:pStyle w:val="Heading1"/>
      </w:pPr>
      <w:r>
        <w:t>Questions presented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Is the proposed pilot technically feasible and non-duplicative?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What exactly is Pilot 1, and what does RN build independently?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What must Real Chemistry provide now versus later?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How are sources, model assumptions, permissions, compliance, reliability, and limitations governed?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How would the method progress from research to internal calibration to an owned capability?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What would Real Chemistry receive, and how should usefulness be evaluated?</w:t>
      </w:r>
    </w:p>
    <w:p>
      <w:pPr>
        <w:pStyle w:val="Heading1"/>
      </w:pPr>
      <w:r>
        <w:t>Conclusions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848"/>
      </w:tblGrid>
      <w:tr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Issue</w:t>
            </w:r>
          </w:p>
        </w:tc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Conclusion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Feasibility</w:t>
            </w:r>
          </w:p>
        </w:tc>
        <w:tc>
          <w:tcPr>
            <w:tcW w:type="dxa" w:w="784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Yes. Pilot 1 can operate in an open-research deployment zone using approved public and open sources.</w:t>
            </w:r>
          </w:p>
        </w:tc>
      </w:tr>
      <w:tr>
        <w:tc>
          <w:tcPr>
            <w:tcW w:type="dxa" w:w="180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Duplication</w:t>
            </w:r>
          </w:p>
        </w:tc>
        <w:tc>
          <w:tcPr>
            <w:tcW w:type="dxa" w:w="784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The method must complement—not reproduce—ANATOMI, Analytics &amp; Insights, HealthGEO, ReputAI, RC Resolve, or other existing capabilities.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AI</w:t>
            </w:r>
          </w:p>
        </w:tc>
        <w:tc>
          <w:tcPr>
            <w:tcW w:type="dxa" w:w="784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Use a governed model-task portfolio. Provider-flexible does not mean model-indifferent.</w:t>
            </w:r>
          </w:p>
        </w:tc>
      </w:tr>
      <w:tr>
        <w:tc>
          <w:tcPr>
            <w:tcW w:type="dxa" w:w="180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Authority</w:t>
            </w:r>
          </w:p>
        </w:tc>
        <w:tc>
          <w:tcPr>
            <w:tcW w:type="dxa" w:w="784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Humans retain company inclusion, interpretation, scoring override, prioritization, and distribution authority.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Limit</w:t>
            </w:r>
          </w:p>
        </w:tc>
        <w:tc>
          <w:tcPr>
            <w:tcW w:type="dxa" w:w="784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Public evidence cannot resolve internal clients, pursuits, conflicts, relationships, economics, ownership, or capacity.</w:t>
            </w:r>
          </w:p>
        </w:tc>
      </w:tr>
    </w:tbl>
    <w:p>
      <w:pPr>
        <w:spacing w:after="0"/>
      </w:pPr>
    </w:p>
    <w:p>
      <w:pPr>
        <w:pStyle w:val="Heading1"/>
      </w:pPr>
      <w:r>
        <w:t>1. Pilot 1: complete initial engagement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Duration</w:t>
            </w:r>
          </w:p>
        </w:tc>
        <w:tc>
          <w:tcPr>
            <w:tcW w:type="dxa" w:w="75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Eight weeks</w:t>
            </w:r>
          </w:p>
        </w:tc>
      </w:tr>
      <w:tr>
        <w:tc>
          <w:tcPr>
            <w:tcW w:type="dxa" w:w="208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Universe</w:t>
            </w:r>
          </w:p>
        </w:tc>
        <w:tc>
          <w:tcPr>
            <w:tcW w:type="dxa" w:w="75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50–75 companies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Portfolio</w:t>
            </w:r>
          </w:p>
        </w:tc>
        <w:tc>
          <w:tcPr>
            <w:tcW w:type="dxa" w:w="75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12–15 human-reviewed priority accounts</w:t>
            </w:r>
          </w:p>
        </w:tc>
      </w:tr>
      <w:tr>
        <w:tc>
          <w:tcPr>
            <w:tcW w:type="dxa" w:w="208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Records</w:t>
            </w:r>
          </w:p>
        </w:tc>
        <w:tc>
          <w:tcPr>
            <w:tcW w:type="dxa" w:w="75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Source-linked dossiers, evidence ledger, assumption register, model-task register, source-permission register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Decision outputs</w:t>
            </w:r>
          </w:p>
        </w:tc>
        <w:tc>
          <w:tcPr>
            <w:tcW w:type="dxa" w:w="75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External opportunity score; advance/monitor/defer/exclude/redirect/insufficient-evidence dispositions; rejected/deferred list; recommendation</w:t>
            </w:r>
          </w:p>
        </w:tc>
      </w:tr>
      <w:tr>
        <w:tc>
          <w:tcPr>
            <w:tcW w:type="dxa" w:w="208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Excluded</w:t>
            </w:r>
          </w:p>
        </w:tc>
        <w:tc>
          <w:tcPr>
            <w:tcW w:type="dxa" w:w="75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Production integration, internal data, CRM, PHI, restricted sources, automated pursuit decisions</w:t>
            </w:r>
          </w:p>
        </w:tc>
      </w:tr>
    </w:tbl>
    <w:p>
      <w:pPr>
        <w:spacing w:after="0"/>
      </w:pPr>
    </w:p>
    <w:p>
      <w:pPr>
        <w:pStyle w:val="Heading2"/>
      </w:pPr>
      <w:r>
        <w:t>Three-stage progression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592"/>
        <w:gridCol w:w="3168"/>
        <w:gridCol w:w="2304"/>
      </w:tblGrid>
      <w:tr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Stage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Question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Additional inputs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System state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Discover</w:t>
            </w:r>
          </w:p>
        </w:tc>
        <w:tc>
          <w:tcPr>
            <w:tcW w:type="dxa" w:w="25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Which companies warrant review?</w:t>
            </w:r>
          </w:p>
        </w:tc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Minimal public-scope inputs</w:t>
            </w:r>
          </w:p>
        </w:tc>
        <w:tc>
          <w:tcPr>
            <w:tcW w:type="dxa" w:w="230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Independent open-research pilot</w:t>
            </w:r>
          </w:p>
        </w:tc>
      </w:tr>
      <w:tr>
        <w:tc>
          <w:tcPr>
            <w:tcW w:type="dxa" w:w="158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Qualify</w:t>
            </w:r>
          </w:p>
        </w:tc>
        <w:tc>
          <w:tcPr>
            <w:tcW w:type="dxa" w:w="259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Which are plausible pursuits?</w:t>
            </w:r>
          </w:p>
        </w:tc>
        <w:tc>
          <w:tcPr>
            <w:tcW w:type="dxa" w:w="316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Clients, pursuits, conflicts, ownership, economics, thresholds</w:t>
            </w:r>
          </w:p>
        </w:tc>
        <w:tc>
          <w:tcPr>
            <w:tcW w:type="dxa" w:w="230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Controlled internal calibration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Institutionalize</w:t>
            </w:r>
          </w:p>
        </w:tc>
        <w:tc>
          <w:tcPr>
            <w:tcW w:type="dxa" w:w="25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Should this become persistent?</w:t>
            </w:r>
          </w:p>
        </w:tc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Approved systems, CRM, monitoring, ownership, outcomes</w:t>
            </w:r>
          </w:p>
        </w:tc>
        <w:tc>
          <w:tcPr>
            <w:tcW w:type="dxa" w:w="230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Real Chemistry-owned capability</w:t>
            </w:r>
          </w:p>
        </w:tc>
      </w:tr>
    </w:tbl>
    <w:p>
      <w:pPr>
        <w:spacing w:after="0"/>
      </w:pPr>
    </w:p>
    <w:p>
      <w:pPr>
        <w:pStyle w:val="Heading1"/>
      </w:pPr>
      <w:r>
        <w:t>2. Evidence and reasoning architecture</w:t>
      </w:r>
    </w:p>
    <w:p>
      <w:r>
        <w:rPr>
          <w:rFonts w:ascii="Aptos" w:hAnsi="Aptos"/>
          <w:b w:val="0"/>
          <w:i w:val="0"/>
          <w:color w:val="10242B"/>
          <w:sz w:val="21"/>
        </w:rPr>
        <w:t>The unit of work is not a generated narrative. It is a traceable chain from source to factual record, normalized signal, explicit hypothesis, possible capability relevance, score rationale, human review, and disposition.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616"/>
        <w:gridCol w:w="2592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record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Authority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Source</w:t>
            </w:r>
          </w:p>
        </w:tc>
        <w:tc>
          <w:tcPr>
            <w:tcW w:type="dxa" w:w="561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URL/title/publisher/access date/rights class/access method/restrictions</w:t>
            </w:r>
          </w:p>
        </w:tc>
        <w:tc>
          <w:tcPr>
            <w:tcW w:type="dxa" w:w="25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Source approval</w:t>
            </w:r>
          </w:p>
        </w:tc>
      </w:tr>
      <w:tr>
        <w:tc>
          <w:tcPr>
            <w:tcW w:type="dxa" w:w="14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Fact</w:t>
            </w:r>
          </w:p>
        </w:tc>
        <w:tc>
          <w:tcPr>
            <w:tcW w:type="dxa" w:w="561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Entity-resolved, dated, source-grounded record</w:t>
            </w:r>
          </w:p>
        </w:tc>
        <w:tc>
          <w:tcPr>
            <w:tcW w:type="dxa" w:w="259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Record validation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Signal</w:t>
            </w:r>
          </w:p>
        </w:tc>
        <w:tc>
          <w:tcPr>
            <w:tcW w:type="dxa" w:w="561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Defined ontology family and observed change</w:t>
            </w:r>
          </w:p>
        </w:tc>
        <w:tc>
          <w:tcPr>
            <w:tcW w:type="dxa" w:w="25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Analytical approval</w:t>
            </w:r>
          </w:p>
        </w:tc>
      </w:tr>
      <w:tr>
        <w:tc>
          <w:tcPr>
            <w:tcW w:type="dxa" w:w="14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Hypothesis</w:t>
            </w:r>
          </w:p>
        </w:tc>
        <w:tc>
          <w:tcPr>
            <w:tcW w:type="dxa" w:w="561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Why the signal may matter; alternatives and contradictions</w:t>
            </w:r>
          </w:p>
        </w:tc>
        <w:tc>
          <w:tcPr>
            <w:tcW w:type="dxa" w:w="259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Account review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Decision</w:t>
            </w:r>
          </w:p>
        </w:tc>
        <w:tc>
          <w:tcPr>
            <w:tcW w:type="dxa" w:w="561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Advance, monitor, defer, exclude, redirect, or insufficient evidence</w:t>
            </w:r>
          </w:p>
        </w:tc>
        <w:tc>
          <w:tcPr>
            <w:tcW w:type="dxa" w:w="25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Distribution approval</w:t>
            </w:r>
          </w:p>
        </w:tc>
      </w:tr>
    </w:tbl>
    <w:p>
      <w:pPr>
        <w:spacing w:after="0"/>
      </w:pPr>
    </w:p>
    <w:p>
      <w:pPr>
        <w:pStyle w:val="Heading2"/>
      </w:pPr>
      <w:r>
        <w:t>Evidence tiers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Tier</w:t>
            </w:r>
          </w:p>
        </w:tc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44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Verified fact</w:t>
            </w:r>
          </w:p>
        </w:tc>
        <w:tc>
          <w:tcPr>
            <w:tcW w:type="dxa" w:w="72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Directly established by an authoritative or primary record.</w:t>
            </w:r>
          </w:p>
        </w:tc>
      </w:tr>
      <w:tr>
        <w:tc>
          <w:tcPr>
            <w:tcW w:type="dxa" w:w="244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Corroborated finding</w:t>
            </w:r>
          </w:p>
        </w:tc>
        <w:tc>
          <w:tcPr>
            <w:tcW w:type="dxa" w:w="720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Supported by multiple reliable records or validated against an authoritative record.</w:t>
            </w:r>
          </w:p>
        </w:tc>
      </w:tr>
      <w:tr>
        <w:tc>
          <w:tcPr>
            <w:tcW w:type="dxa" w:w="244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Analytical inference</w:t>
            </w:r>
          </w:p>
        </w:tc>
        <w:tc>
          <w:tcPr>
            <w:tcW w:type="dxa" w:w="72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 reasoned interpretation that remains distinct from its factual foundation.</w:t>
            </w:r>
          </w:p>
        </w:tc>
      </w:tr>
      <w:tr>
        <w:tc>
          <w:tcPr>
            <w:tcW w:type="dxa" w:w="244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Hypothesis or early signal</w:t>
            </w:r>
          </w:p>
        </w:tc>
        <w:tc>
          <w:tcPr>
            <w:tcW w:type="dxa" w:w="720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 proposition requiring further evidence or internal review.</w:t>
            </w:r>
          </w:p>
        </w:tc>
      </w:tr>
    </w:tbl>
    <w:p>
      <w:pPr>
        <w:spacing w:after="0"/>
      </w:pPr>
    </w:p>
    <w:p>
      <w:pPr>
        <w:pStyle w:val="Heading1"/>
      </w:pPr>
      <w:r>
        <w:t>3. Model-task portfolio</w:t>
      </w:r>
    </w:p>
    <w:p>
      <w:r>
        <w:rPr>
          <w:rFonts w:ascii="Aptos" w:hAnsi="Aptos"/>
          <w:b w:val="0"/>
          <w:i w:val="0"/>
          <w:color w:val="10242B"/>
          <w:sz w:val="21"/>
        </w:rPr>
        <w:t>The pilot does not depend on one undifferentiated model. Model selection is task-specific and conditioned on sensitivity, source restrictions, provider terms, retention, training use, accuracy, observability, security, cost, performance, and suitability.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680"/>
        <w:gridCol w:w="3240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Lane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Permitted work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Authority boundary</w:t>
            </w:r>
          </w:p>
        </w:tc>
      </w:tr>
      <w:tr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AI-assisted</w:t>
            </w:r>
          </w:p>
        </w:tc>
        <w:tc>
          <w:tcPr>
            <w:tcW w:type="dxa" w:w="468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Extraction, entity resolution, comparison, classification, contradiction detection, and draft synthesis.</w:t>
            </w:r>
          </w:p>
        </w:tc>
        <w:tc>
          <w:tcPr>
            <w:tcW w:type="dxa" w:w="32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May propose; cannot own consequential decisions.</w:t>
            </w:r>
          </w:p>
        </w:tc>
      </w:tr>
      <w:tr>
        <w:tc>
          <w:tcPr>
            <w:tcW w:type="dxa" w:w="17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Deterministic</w:t>
            </w:r>
          </w:p>
        </w:tc>
        <w:tc>
          <w:tcPr>
            <w:tcW w:type="dxa" w:w="468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Required fields, record IDs, registry checks, score calculation, recency rules, versioning, and citations.</w:t>
            </w:r>
          </w:p>
        </w:tc>
        <w:tc>
          <w:tcPr>
            <w:tcW w:type="dxa" w:w="32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Rules must be inspectable and versioned.</w:t>
            </w:r>
          </w:p>
        </w:tc>
      </w:tr>
      <w:tr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Human-only</w:t>
            </w:r>
          </w:p>
        </w:tc>
        <w:tc>
          <w:tcPr>
            <w:tcW w:type="dxa" w:w="468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Inclusion, interpretation, scoring overrides, escalation, prioritization, and distribution.</w:t>
            </w:r>
          </w:p>
        </w:tc>
        <w:tc>
          <w:tcPr>
            <w:tcW w:type="dxa" w:w="32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Named reviewer authority is mandatory.</w:t>
            </w:r>
          </w:p>
        </w:tc>
      </w:tr>
    </w:tbl>
    <w:p>
      <w:pPr>
        <w:spacing w:after="0"/>
      </w:pPr>
    </w:p>
    <w:p>
      <w:pPr>
        <w:pStyle w:val="Heading1"/>
      </w:pPr>
      <w:r>
        <w:t>4. Assumption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040"/>
        <w:gridCol w:w="2736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Assumption family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entries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Status labels</w:t>
            </w:r>
          </w:p>
        </w:tc>
      </w:tr>
      <w:tr>
        <w:tc>
          <w:tcPr>
            <w:tcW w:type="dxa" w:w="187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Scope</w:t>
            </w:r>
          </w:p>
        </w:tc>
        <w:tc>
          <w:tcPr>
            <w:tcW w:type="dxa" w:w="50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Therapeutic scope, geography, company stage, modalities</w:t>
            </w:r>
          </w:p>
        </w:tc>
        <w:tc>
          <w:tcPr>
            <w:tcW w:type="dxa" w:w="273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Evidence-supported / provisional</w:t>
            </w:r>
          </w:p>
        </w:tc>
      </w:tr>
      <w:tr>
        <w:tc>
          <w:tcPr>
            <w:tcW w:type="dxa" w:w="187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Signals</w:t>
            </w:r>
          </w:p>
        </w:tc>
        <w:tc>
          <w:tcPr>
            <w:tcW w:type="dxa" w:w="50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Definition of inflection point; observable indications of possible service need</w:t>
            </w:r>
          </w:p>
        </w:tc>
        <w:tc>
          <w:tcPr>
            <w:tcW w:type="dxa" w:w="273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Methodological / provisional</w:t>
            </w:r>
          </w:p>
        </w:tc>
      </w:tr>
      <w:tr>
        <w:tc>
          <w:tcPr>
            <w:tcW w:type="dxa" w:w="187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Mapping</w:t>
            </w:r>
          </w:p>
        </w:tc>
        <w:tc>
          <w:tcPr>
            <w:tcW w:type="dxa" w:w="50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How signal families map to Real Chemistry capabilities</w:t>
            </w:r>
          </w:p>
        </w:tc>
        <w:tc>
          <w:tcPr>
            <w:tcW w:type="dxa" w:w="273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Evidence-supported / internal calibration required</w:t>
            </w:r>
          </w:p>
        </w:tc>
      </w:tr>
      <w:tr>
        <w:tc>
          <w:tcPr>
            <w:tcW w:type="dxa" w:w="187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Evidence</w:t>
            </w:r>
          </w:p>
        </w:tc>
        <w:tc>
          <w:tcPr>
            <w:tcW w:type="dxa" w:w="50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Thresholds, recency windows, missing-data treatment</w:t>
            </w:r>
          </w:p>
        </w:tc>
        <w:tc>
          <w:tcPr>
            <w:tcW w:type="dxa" w:w="273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Methodological</w:t>
            </w:r>
          </w:p>
        </w:tc>
      </w:tr>
      <w:tr>
        <w:tc>
          <w:tcPr>
            <w:tcW w:type="dxa" w:w="187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Scoring</w:t>
            </w:r>
          </w:p>
        </w:tc>
        <w:tc>
          <w:tcPr>
            <w:tcW w:type="dxa" w:w="50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Weights, false-positive risk, sensitivity boundaries</w:t>
            </w:r>
          </w:p>
        </w:tc>
        <w:tc>
          <w:tcPr>
            <w:tcW w:type="dxa" w:w="273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Provisional / internal calibration required</w:t>
            </w:r>
          </w:p>
        </w:tc>
      </w:tr>
      <w:tr>
        <w:tc>
          <w:tcPr>
            <w:tcW w:type="dxa" w:w="187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Limits</w:t>
            </w:r>
          </w:p>
        </w:tc>
        <w:tc>
          <w:tcPr>
            <w:tcW w:type="dxa" w:w="50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What public evidence cannot establish</w:t>
            </w:r>
          </w:p>
        </w:tc>
        <w:tc>
          <w:tcPr>
            <w:tcW w:type="dxa" w:w="273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Evidence-supported</w:t>
            </w:r>
          </w:p>
        </w:tc>
      </w:tr>
    </w:tbl>
    <w:p>
      <w:pPr>
        <w:spacing w:after="0"/>
      </w:pPr>
    </w:p>
    <w:p>
      <w:pPr>
        <w:pStyle w:val="Heading1"/>
      </w:pPr>
      <w:r>
        <w:t>5. Scoring and portfolio decision</w:t>
      </w:r>
    </w:p>
    <w:p>
      <w:r>
        <w:rPr>
          <w:rFonts w:ascii="Aptos" w:hAnsi="Aptos"/>
          <w:b w:val="0"/>
          <w:i w:val="0"/>
          <w:color w:val="10242B"/>
          <w:sz w:val="21"/>
        </w:rPr>
        <w:t>No single score is the final answer. The method separates an externally observable score from internal pursuit viability and the final human portfolio disposition.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84"/>
        <w:gridCol w:w="2376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Layer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Inputs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External Opportunity Score</w:t>
            </w:r>
          </w:p>
        </w:tc>
        <w:tc>
          <w:tcPr>
            <w:tcW w:type="dxa" w:w="518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Strategic relevance, timing, evidence strength, service-need clarity, commercialization complexity, narrative/reputation complexity, differentiation, risk-adjusted review priority</w:t>
            </w:r>
          </w:p>
        </w:tc>
        <w:tc>
          <w:tcPr>
            <w:tcW w:type="dxa" w:w="237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Externally grounded review priority</w:t>
            </w:r>
          </w:p>
        </w:tc>
      </w:tr>
      <w:tr>
        <w:tc>
          <w:tcPr>
            <w:tcW w:type="dxa" w:w="208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Internal Pursuit Viability</w:t>
            </w:r>
          </w:p>
        </w:tc>
        <w:tc>
          <w:tcPr>
            <w:tcW w:type="dxa" w:w="518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Client status, active pursuit, conflict, relationship, history, economics, capacity, ownership, geography, competitive position, strategic priority</w:t>
            </w:r>
          </w:p>
        </w:tc>
        <w:tc>
          <w:tcPr>
            <w:tcW w:type="dxa" w:w="237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Real Chemistry-calibrated viability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Human Portfolio Decision</w:t>
            </w:r>
          </w:p>
        </w:tc>
        <w:tc>
          <w:tcPr>
            <w:tcW w:type="dxa" w:w="518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Evidence, scores, contradictions, reviewer judgment, unresolved questions</w:t>
            </w:r>
          </w:p>
        </w:tc>
        <w:tc>
          <w:tcPr>
            <w:tcW w:type="dxa" w:w="237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Advance / monitor / defer / exclude / redirect / insufficient evidence</w:t>
            </w:r>
          </w:p>
        </w:tc>
      </w:tr>
    </w:tbl>
    <w:p>
      <w:pPr>
        <w:spacing w:after="0"/>
      </w:pPr>
    </w:p>
    <w:p>
      <w:pPr>
        <w:pStyle w:val="Heading1"/>
      </w:pPr>
      <w:r>
        <w:t>6. Source-permission architecture</w:t>
      </w:r>
    </w:p>
    <w:p>
      <w:r>
        <w:rPr>
          <w:rFonts w:ascii="Aptos" w:hAnsi="Aptos"/>
          <w:b w:val="0"/>
          <w:i w:val="0"/>
          <w:color w:val="10242B"/>
          <w:sz w:val="21"/>
        </w:rPr>
        <w:t>Permission is evaluated across the full lifecycle. A source label alone is insufficient, and derived intelligence inherits upstream restrictions.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Architecture</w:t>
            </w:r>
          </w:p>
        </w:tc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Elements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8 lifecycle layers</w:t>
            </w:r>
          </w:p>
        </w:tc>
        <w:tc>
          <w:tcPr>
            <w:tcW w:type="dxa" w:w="75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Decision/use case; acquisition; rights; engineering/security; retrieval/provenance; analysis/orchestration; validation/compliance; output/action/monitoring</w:t>
            </w:r>
          </w:p>
        </w:tc>
      </w:tr>
      <w:tr>
        <w:tc>
          <w:tcPr>
            <w:tcW w:type="dxa" w:w="208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7 rights classes</w:t>
            </w:r>
          </w:p>
        </w:tc>
        <w:tc>
          <w:tcPr>
            <w:tcW w:type="dxa" w:w="75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Government/public domain; public copyrighted; licensed commercial; Real Chemistry proprietary; client confidential; sensitive/regulated; derived intelligence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5 data states</w:t>
            </w:r>
          </w:p>
        </w:tc>
        <w:tc>
          <w:tcPr>
            <w:tcW w:type="dxa" w:w="75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Raw; normalized; indexed; derived; distributed</w:t>
            </w:r>
          </w:p>
        </w:tc>
      </w:tr>
      <w:tr>
        <w:tc>
          <w:tcPr>
            <w:tcW w:type="dxa" w:w="208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8 control planes</w:t>
            </w:r>
          </w:p>
        </w:tc>
        <w:tc>
          <w:tcPr>
            <w:tcW w:type="dxa" w:w="75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Purpose/authority; rights/data protection; security; model/agent governance; healthcare compliance; evidence integrity; accountability; monitoring/incident response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4 deployment zones</w:t>
            </w:r>
          </w:p>
        </w:tc>
        <w:tc>
          <w:tcPr>
            <w:tcW w:type="dxa" w:w="75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Open research; controlled enterprise; client-restricted; regulated health/safety</w:t>
            </w:r>
          </w:p>
        </w:tc>
      </w:tr>
      <w:tr>
        <w:tc>
          <w:tcPr>
            <w:tcW w:type="dxa" w:w="208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3 incident pathways</w:t>
            </w:r>
          </w:p>
        </w:tc>
        <w:tc>
          <w:tcPr>
            <w:tcW w:type="dxa" w:w="75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Security/privacy; AI/evidence integrity; healthcare safety</w:t>
            </w:r>
          </w:p>
        </w:tc>
      </w:tr>
    </w:tbl>
    <w:p>
      <w:pPr>
        <w:spacing w:after="0"/>
      </w:pPr>
    </w:p>
    <w:p>
      <w:pPr>
        <w:pStyle w:val="Heading2"/>
      </w:pPr>
      <w:r>
        <w:t>Pilot 1 source perimeter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312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Core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Conditional on rights/approval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Excluded initially</w:t>
            </w:r>
          </w:p>
        </w:tc>
      </w:tr>
      <w:tr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SEC; FDA; ClinicalTrials.gov; USPTO; official registries; official company sites; first-party releases; official agendas; PubMed/Crossref metadata; properly licensed open-access research</w:t>
            </w:r>
          </w:p>
        </w:tc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Licensed news; commercial biotech databases; PitchBook; social listening; publisher full text; conference slides/recordings; LinkedIn; job boards</w:t>
            </w:r>
          </w:p>
        </w:tc>
        <w:tc>
          <w:tcPr>
            <w:tcW w:type="dxa" w:w="331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Scraped LinkedIn/job boards; attendee lists; PHI; inferred health data; purchased contacts; unapproved confidential material; access-controlled sources without permission; full commercial/publisher corpora without rights</w:t>
            </w:r>
          </w:p>
        </w:tc>
      </w:tr>
    </w:tbl>
    <w:p>
      <w:pPr>
        <w:spacing w:after="0"/>
      </w:pPr>
    </w:p>
    <w:p>
      <w:pPr>
        <w:pStyle w:val="Heading1"/>
      </w:pPr>
      <w:r>
        <w:t>7. Real Chemistry capability fit</w:t>
      </w:r>
    </w:p>
    <w:p>
      <w:r>
        <w:rPr>
          <w:rFonts w:ascii="Aptos" w:hAnsi="Aptos"/>
          <w:b w:val="0"/>
          <w:i w:val="0"/>
          <w:color w:val="10242B"/>
          <w:sz w:val="21"/>
        </w:rPr>
        <w:t>The proposal should not imply absence where public evidence is silent. Every capability finding is classified as Confirmed Have, Confirmed Boundary, Not Publicly Evidenced, or Internally Unknown.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440"/>
        <w:gridCol w:w="3744"/>
        <w:gridCol w:w="2736"/>
      </w:tblGrid>
      <w:tr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Capability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Class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Publicly established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Internal question</w:t>
            </w:r>
          </w:p>
        </w:tc>
      </w:tr>
      <w:tr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ANATOMI</w:t>
            </w:r>
          </w:p>
        </w:tc>
        <w:tc>
          <w:tcPr>
            <w:tcW w:type="dxa" w:w="14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Confirmed have</w:t>
            </w:r>
          </w:p>
        </w:tc>
        <w:tc>
          <w:tcPr>
            <w:tcW w:type="dxa" w:w="37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AI ecosystem combining data, models, orchestration, analytics, and agentic tools.</w:t>
            </w:r>
          </w:p>
        </w:tc>
        <w:tc>
          <w:tcPr>
            <w:tcW w:type="dxa" w:w="273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Is it used for internal growth or prospect discovery?</w:t>
            </w:r>
          </w:p>
        </w:tc>
      </w:tr>
      <w:tr>
        <w:tc>
          <w:tcPr>
            <w:tcW w:type="dxa" w:w="17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Analytics &amp; Insights</w:t>
            </w:r>
          </w:p>
        </w:tc>
        <w:tc>
          <w:tcPr>
            <w:tcW w:type="dxa" w:w="14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Confirmed have</w:t>
            </w:r>
          </w:p>
        </w:tc>
        <w:tc>
          <w:tcPr>
            <w:tcW w:type="dxa" w:w="374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Named intelligence, listening, audience, prediction, and measurement capabilities.</w:t>
            </w:r>
          </w:p>
        </w:tc>
        <w:tc>
          <w:tcPr>
            <w:tcW w:type="dxa" w:w="273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Which products already support prospective-account decisions?</w:t>
            </w:r>
          </w:p>
        </w:tc>
      </w:tr>
      <w:tr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HealthGEO / ReputAI</w:t>
            </w:r>
          </w:p>
        </w:tc>
        <w:tc>
          <w:tcPr>
            <w:tcW w:type="dxa" w:w="14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Confirmed have</w:t>
            </w:r>
          </w:p>
        </w:tc>
        <w:tc>
          <w:tcPr>
            <w:tcW w:type="dxa" w:w="37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AI-search perception, source intelligence, reputation measurement, and predictive message testing.</w:t>
            </w:r>
          </w:p>
        </w:tc>
        <w:tc>
          <w:tcPr>
            <w:tcW w:type="dxa" w:w="273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Can outputs inform early account hypotheses?</w:t>
            </w:r>
          </w:p>
        </w:tc>
      </w:tr>
      <w:tr>
        <w:tc>
          <w:tcPr>
            <w:tcW w:type="dxa" w:w="17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Unified prospect workflow</w:t>
            </w:r>
          </w:p>
        </w:tc>
        <w:tc>
          <w:tcPr>
            <w:tcW w:type="dxa" w:w="144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Not publicly evidenced</w:t>
            </w:r>
          </w:p>
        </w:tc>
        <w:tc>
          <w:tcPr>
            <w:tcW w:type="dxa" w:w="374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No public evidence located for the specific source-to-growth-decision workflow proposed here.</w:t>
            </w:r>
          </w:p>
        </w:tc>
        <w:tc>
          <w:tcPr>
            <w:tcW w:type="dxa" w:w="273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Does an equivalent internal process already exist?</w:t>
            </w:r>
          </w:p>
        </w:tc>
      </w:tr>
      <w:tr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CRM, conflicts, ownership, outcomes</w:t>
            </w:r>
          </w:p>
        </w:tc>
        <w:tc>
          <w:tcPr>
            <w:tcW w:type="dxa" w:w="144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Internally unknown</w:t>
            </w:r>
          </w:p>
        </w:tc>
        <w:tc>
          <w:tcPr>
            <w:tcW w:type="dxa" w:w="37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Public evidence cannot resolve the systems, rules, or history.</w:t>
            </w:r>
          </w:p>
        </w:tc>
        <w:tc>
          <w:tcPr>
            <w:tcW w:type="dxa" w:w="273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What can be safely used during calibration?</w:t>
            </w:r>
          </w:p>
        </w:tc>
      </w:tr>
    </w:tbl>
    <w:p>
      <w:pPr>
        <w:spacing w:after="0"/>
      </w:pPr>
    </w:p>
    <w:p>
      <w:pPr>
        <w:pStyle w:val="Heading1"/>
      </w:pPr>
      <w:r>
        <w:t>8. Eight-week execution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3168"/>
        <w:gridCol w:w="1728"/>
      </w:tblGrid>
      <w:tr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Week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Activities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Output</w:t>
            </w:r>
          </w:p>
        </w:tc>
        <w:tc>
          <w:tcPr>
            <w:tcW w:type="dxa" w:w="246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Gate</w:t>
            </w:r>
          </w:p>
        </w:tc>
      </w:tr>
      <w:tr>
        <w:tc>
          <w:tcPr>
            <w:tcW w:type="dxa" w:w="7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1</w:t>
            </w:r>
          </w:p>
        </w:tc>
        <w:tc>
          <w:tcPr>
            <w:tcW w:type="dxa" w:w="39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Scope, decision, perimeter, governance, schema</w:t>
            </w:r>
          </w:p>
        </w:tc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Scope memo + source perimeter</w:t>
            </w:r>
          </w:p>
        </w:tc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Scope approval</w:t>
            </w:r>
          </w:p>
        </w:tc>
      </w:tr>
      <w:tr>
        <w:tc>
          <w:tcPr>
            <w:tcW w:type="dxa" w:w="79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2</w:t>
            </w:r>
          </w:p>
        </w:tc>
        <w:tc>
          <w:tcPr>
            <w:tcW w:type="dxa" w:w="39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Taxonomy, assumptions, evidence rules, entity model</w:t>
            </w:r>
          </w:p>
        </w:tc>
        <w:tc>
          <w:tcPr>
            <w:tcW w:type="dxa" w:w="316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Ontology + registers</w:t>
            </w:r>
          </w:p>
        </w:tc>
        <w:tc>
          <w:tcPr>
            <w:tcW w:type="dxa" w:w="17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Method approval</w:t>
            </w:r>
          </w:p>
        </w:tc>
      </w:tr>
      <w:tr>
        <w:tc>
          <w:tcPr>
            <w:tcW w:type="dxa" w:w="7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3</w:t>
            </w:r>
          </w:p>
        </w:tc>
        <w:tc>
          <w:tcPr>
            <w:tcW w:type="dxa" w:w="39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Discovery, universe, inclusion/exclusion</w:t>
            </w:r>
          </w:p>
        </w:tc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50–75-company universe</w:t>
            </w:r>
          </w:p>
        </w:tc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Universe review</w:t>
            </w:r>
          </w:p>
        </w:tc>
      </w:tr>
      <w:tr>
        <w:tc>
          <w:tcPr>
            <w:tcW w:type="dxa" w:w="79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4</w:t>
            </w:r>
          </w:p>
        </w:tc>
        <w:tc>
          <w:tcPr>
            <w:tcW w:type="dxa" w:w="39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Primary-source verification, normalized records, entity resolution</w:t>
            </w:r>
          </w:p>
        </w:tc>
        <w:tc>
          <w:tcPr>
            <w:tcW w:type="dxa" w:w="316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Evidence records</w:t>
            </w:r>
          </w:p>
        </w:tc>
        <w:tc>
          <w:tcPr>
            <w:tcW w:type="dxa" w:w="17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Record validation</w:t>
            </w:r>
          </w:p>
        </w:tc>
      </w:tr>
      <w:tr>
        <w:tc>
          <w:tcPr>
            <w:tcW w:type="dxa" w:w="7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5</w:t>
            </w:r>
          </w:p>
        </w:tc>
        <w:tc>
          <w:tcPr>
            <w:tcW w:type="dxa" w:w="39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Scoring, sensitivity, false positives, missing data</w:t>
            </w:r>
          </w:p>
        </w:tc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Score + sensitivity memo</w:t>
            </w:r>
          </w:p>
        </w:tc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Analytical approval</w:t>
            </w:r>
          </w:p>
        </w:tc>
      </w:tr>
      <w:tr>
        <w:tc>
          <w:tcPr>
            <w:tcW w:type="dxa" w:w="79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6</w:t>
            </w:r>
          </w:p>
        </w:tc>
        <w:tc>
          <w:tcPr>
            <w:tcW w:type="dxa" w:w="39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Dossier production</w:t>
            </w:r>
          </w:p>
        </w:tc>
        <w:tc>
          <w:tcPr>
            <w:tcW w:type="dxa" w:w="316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Draft priority dossiers</w:t>
            </w:r>
          </w:p>
        </w:tc>
        <w:tc>
          <w:tcPr>
            <w:tcW w:type="dxa" w:w="17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Account review</w:t>
            </w:r>
          </w:p>
        </w:tc>
      </w:tr>
      <w:tr>
        <w:tc>
          <w:tcPr>
            <w:tcW w:type="dxa" w:w="79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7</w:t>
            </w:r>
          </w:p>
        </w:tc>
        <w:tc>
          <w:tcPr>
            <w:tcW w:type="dxa" w:w="396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Portfolio and rejected/deferred list</w:t>
            </w:r>
          </w:p>
        </w:tc>
        <w:tc>
          <w:tcPr>
            <w:tcW w:type="dxa" w:w="316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12–15-account portfolio</w:t>
            </w:r>
          </w:p>
        </w:tc>
        <w:tc>
          <w:tcPr>
            <w:tcW w:type="dxa" w:w="17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Portfolio review</w:t>
            </w:r>
          </w:p>
        </w:tc>
      </w:tr>
      <w:tr>
        <w:tc>
          <w:tcPr>
            <w:tcW w:type="dxa" w:w="79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8</w:t>
            </w:r>
          </w:p>
        </w:tc>
        <w:tc>
          <w:tcPr>
            <w:tcW w:type="dxa" w:w="396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Evaluation, handoff, recommendation, future-stage decision</w:t>
            </w:r>
          </w:p>
        </w:tc>
        <w:tc>
          <w:tcPr>
            <w:tcW w:type="dxa" w:w="316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Final package</w:t>
            </w:r>
          </w:p>
        </w:tc>
        <w:tc>
          <w:tcPr>
            <w:tcW w:type="dxa" w:w="17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4"/>
              </w:rPr>
              <w:t>Distribution approval</w:t>
            </w:r>
          </w:p>
        </w:tc>
      </w:tr>
    </w:tbl>
    <w:p>
      <w:pPr>
        <w:spacing w:after="0"/>
      </w:pPr>
    </w:p>
    <w:p>
      <w:pPr>
        <w:pStyle w:val="Heading1"/>
      </w:pPr>
      <w:r>
        <w:t>9. Dossier specification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Account snapshot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Evidence summary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Clinical and regulatory position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Corporate movement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Commercialization-readiness signals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Narrative and reputation landscape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Real Chemistry relevance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Source and permission record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Human-review notes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Suggested internal next step</w:t>
      </w:r>
    </w:p>
    <w:p>
      <w:pPr>
        <w:pStyle w:val="Heading1"/>
      </w:pPr>
      <w:r>
        <w:t>10. Evaluation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Checks</w:t>
            </w:r>
          </w:p>
        </w:tc>
      </w:tr>
      <w:tr>
        <w:tc>
          <w:tcPr>
            <w:tcW w:type="dxa" w:w="19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Research quality</w:t>
            </w:r>
          </w:p>
        </w:tc>
        <w:tc>
          <w:tcPr>
            <w:tcW w:type="dxa" w:w="770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Citation accuracy, coverage, staleness, contradiction handling, entity resolution</w:t>
            </w:r>
          </w:p>
        </w:tc>
      </w:tr>
      <w:tr>
        <w:tc>
          <w:tcPr>
            <w:tcW w:type="dxa" w:w="194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Decision usefulness</w:t>
            </w:r>
          </w:p>
        </w:tc>
        <w:tc>
          <w:tcPr>
            <w:tcW w:type="dxa" w:w="770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False positives, rationale quality, reviewer usefulness, disposition clarity</w:t>
            </w:r>
          </w:p>
        </w:tc>
      </w:tr>
      <w:tr>
        <w:tc>
          <w:tcPr>
            <w:tcW w:type="dxa" w:w="19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Commercial relevance</w:t>
            </w:r>
          </w:p>
        </w:tc>
        <w:tc>
          <w:tcPr>
            <w:tcW w:type="dxa" w:w="770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Review-worthy accounts, service-fit clarity, timing insight</w:t>
            </w:r>
          </w:p>
        </w:tc>
      </w:tr>
      <w:tr>
        <w:tc>
          <w:tcPr>
            <w:tcW w:type="dxa" w:w="194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Governance</w:t>
            </w:r>
          </w:p>
        </w:tc>
        <w:tc>
          <w:tcPr>
            <w:tcW w:type="dxa" w:w="7704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Permission completeness, restricted-source exclusion, audit completeness, escalation</w:t>
            </w:r>
          </w:p>
        </w:tc>
      </w:tr>
      <w:tr>
        <w:tc>
          <w:tcPr>
            <w:tcW w:type="dxa" w:w="194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Learning</w:t>
            </w:r>
          </w:p>
        </w:tc>
        <w:tc>
          <w:tcPr>
            <w:tcW w:type="dxa" w:w="7704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Whether signal families later correlate with interest, deferral, pursuit, rejection, or win/loss</w:t>
            </w:r>
          </w:p>
        </w:tc>
      </w:tr>
    </w:tbl>
    <w:p>
      <w:pPr>
        <w:spacing w:after="0"/>
      </w:pPr>
    </w:p>
    <w:p>
      <w:pPr>
        <w:pStyle w:val="Heading1"/>
      </w:pPr>
      <w:r>
        <w:t>11. Internal questions for Will</w:t>
      </w:r>
    </w:p>
    <w:p>
      <w:pPr>
        <w:pStyle w:val="Heading2"/>
      </w:pPr>
      <w:r>
        <w:t>Current process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Who identifies entirely new prospective companies today?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Are target lists centralized or practice-specific?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Where are early company signals recorded?</w:t>
      </w:r>
    </w:p>
    <w:p>
      <w:pPr>
        <w:pStyle w:val="Heading2"/>
      </w:pPr>
      <w:r>
        <w:t>Existing capability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Does Analytics &amp; Insights support internal growth?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Is ANATOMI used for prospect discovery or qualification?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Is there already a target-account score, dashboard, or watchlist?</w:t>
      </w:r>
    </w:p>
    <w:p>
      <w:pPr>
        <w:pStyle w:val="Heading2"/>
      </w:pPr>
      <w:r>
        <w:t>Internal calibration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How are clients, pursuits, and conflicts screened?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Who owns a prospective account before a formal opportunity exists?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What economics, capacity, and thresholds matter?</w:t>
      </w:r>
    </w:p>
    <w:p>
      <w:pPr>
        <w:pStyle w:val="Heading2"/>
      </w:pPr>
      <w:r>
        <w:t>Technology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Which AI environment is approved?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Can a structured company dataset and ontology be accepted?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Which licensed sources and growth CRM are available?</w:t>
      </w:r>
    </w:p>
    <w:p>
      <w:pPr>
        <w:pStyle w:val="Heading2"/>
      </w:pPr>
      <w:r>
        <w:t>Measurement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What would make the portfolio useful or duplicative?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Are historical examples and structured win/loss reasons available?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b w:val="0"/>
          <w:i w:val="0"/>
          <w:color w:val="10242B"/>
          <w:sz w:val="21"/>
        </w:rPr>
        <w:t>Could outcomes be connected to originating signals?</w:t>
      </w:r>
    </w:p>
    <w:p>
      <w:pPr>
        <w:pStyle w:val="Heading1"/>
      </w:pPr>
      <w:r>
        <w:t>Appendix A. Minimum data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632"/>
      </w:tblGrid>
      <w:tr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Entity</w:t>
            </w:r>
          </w:p>
        </w:tc>
        <w:tc>
          <w:tcPr>
            <w:tcW w:type="dxa" w:w="4939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Minimum content</w:t>
            </w:r>
          </w:p>
        </w:tc>
      </w:tr>
      <w:tr>
        <w:tc>
          <w:tcPr>
            <w:tcW w:type="dxa" w:w="201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Company</w:t>
            </w:r>
          </w:p>
        </w:tc>
        <w:tc>
          <w:tcPr>
            <w:tcW w:type="dxa" w:w="763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Canonical identity and aliases</w:t>
            </w:r>
          </w:p>
        </w:tc>
      </w:tr>
      <w:tr>
        <w:tc>
          <w:tcPr>
            <w:tcW w:type="dxa" w:w="201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Source</w:t>
            </w:r>
          </w:p>
        </w:tc>
        <w:tc>
          <w:tcPr>
            <w:tcW w:type="dxa" w:w="763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URL, title, publisher, access date, rights class</w:t>
            </w:r>
          </w:p>
        </w:tc>
      </w:tr>
      <w:tr>
        <w:tc>
          <w:tcPr>
            <w:tcW w:type="dxa" w:w="201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Fact</w:t>
            </w:r>
          </w:p>
        </w:tc>
        <w:tc>
          <w:tcPr>
            <w:tcW w:type="dxa" w:w="763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Source-grounded factual record</w:t>
            </w:r>
          </w:p>
        </w:tc>
      </w:tr>
      <w:tr>
        <w:tc>
          <w:tcPr>
            <w:tcW w:type="dxa" w:w="201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Signal</w:t>
            </w:r>
          </w:p>
        </w:tc>
        <w:tc>
          <w:tcPr>
            <w:tcW w:type="dxa" w:w="763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Ontology family and normalized event</w:t>
            </w:r>
          </w:p>
        </w:tc>
      </w:tr>
      <w:tr>
        <w:tc>
          <w:tcPr>
            <w:tcW w:type="dxa" w:w="201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Evidence tier</w:t>
            </w:r>
          </w:p>
        </w:tc>
        <w:tc>
          <w:tcPr>
            <w:tcW w:type="dxa" w:w="763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Verified, corroborated, inference, or hypothesis</w:t>
            </w:r>
          </w:p>
        </w:tc>
      </w:tr>
      <w:tr>
        <w:tc>
          <w:tcPr>
            <w:tcW w:type="dxa" w:w="201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Inflection hypothesis</w:t>
            </w:r>
          </w:p>
        </w:tc>
        <w:tc>
          <w:tcPr>
            <w:tcW w:type="dxa" w:w="763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Why the signal may matter now</w:t>
            </w:r>
          </w:p>
        </w:tc>
      </w:tr>
      <w:tr>
        <w:tc>
          <w:tcPr>
            <w:tcW w:type="dxa" w:w="201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Service relevance</w:t>
            </w:r>
          </w:p>
        </w:tc>
        <w:tc>
          <w:tcPr>
            <w:tcW w:type="dxa" w:w="763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Possible capability fit</w:t>
            </w:r>
          </w:p>
        </w:tc>
      </w:tr>
      <w:tr>
        <w:tc>
          <w:tcPr>
            <w:tcW w:type="dxa" w:w="201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Score</w:t>
            </w:r>
          </w:p>
        </w:tc>
        <w:tc>
          <w:tcPr>
            <w:tcW w:type="dxa" w:w="763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Dimensions, rationale, and weight version</w:t>
            </w:r>
          </w:p>
        </w:tc>
      </w:tr>
      <w:tr>
        <w:tc>
          <w:tcPr>
            <w:tcW w:type="dxa" w:w="2016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Review</w:t>
            </w:r>
          </w:p>
        </w:tc>
        <w:tc>
          <w:tcPr>
            <w:tcW w:type="dxa" w:w="7632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Reviewer, disposition, override, unresolved question</w:t>
            </w:r>
          </w:p>
        </w:tc>
      </w:tr>
      <w:tr>
        <w:tc>
          <w:tcPr>
            <w:tcW w:type="dxa" w:w="2016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Governance</w:t>
            </w:r>
          </w:p>
        </w:tc>
        <w:tc>
          <w:tcPr>
            <w:tcW w:type="dxa" w:w="7632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6"/>
              </w:rPr>
              <w:t>Restrictions, audience, retention, approvals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Verification and source note</w:t>
      </w:r>
    </w:p>
    <w:p>
      <w:r>
        <w:rPr>
          <w:rFonts w:ascii="Aptos" w:hAnsi="Aptos"/>
          <w:b w:val="0"/>
          <w:i w:val="0"/>
          <w:color w:val="10242B"/>
          <w:sz w:val="21"/>
        </w:rPr>
        <w:t>The capability assessment relies on public Real Chemistry materials and official public sources. Dynamic webpages, product names, access conditions, and technical descriptions must be rechecked immediately before circulation. Public-source classifications are not representations about non-public Real Chemistry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528"/>
      </w:tblGrid>
      <w:tr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Publisher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Use</w:t>
            </w:r>
          </w:p>
        </w:tc>
        <w:tc>
          <w:tcPr>
            <w:tcW w:type="dxa" w:w="3293"/>
            <w:shd w:fill="10242B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Real Chemistry</w:t>
            </w:r>
          </w:p>
        </w:tc>
        <w:tc>
          <w:tcPr>
            <w:tcW w:type="dxa" w:w="432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ANATOMI, Analytics &amp; Insights, HealthGEO, ReputAI, and responsible-healthcare-AI materials</w:t>
            </w:r>
          </w:p>
        </w:tc>
        <w:tc>
          <w:tcPr>
            <w:tcW w:type="dxa" w:w="35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https://www.realchemistry.com/</w:t>
            </w:r>
          </w:p>
        </w:tc>
      </w:tr>
      <w:tr>
        <w:tc>
          <w:tcPr>
            <w:tcW w:type="dxa" w:w="180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U.S. SEC</w:t>
            </w:r>
          </w:p>
        </w:tc>
        <w:tc>
          <w:tcPr>
            <w:tcW w:type="dxa" w:w="432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Company filings</w:t>
            </w:r>
          </w:p>
        </w:tc>
        <w:tc>
          <w:tcPr>
            <w:tcW w:type="dxa" w:w="35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https://www.sec.gov/edgar/search/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U.S. FDA</w:t>
            </w:r>
          </w:p>
        </w:tc>
        <w:tc>
          <w:tcPr>
            <w:tcW w:type="dxa" w:w="432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Regulatory records</w:t>
            </w:r>
          </w:p>
        </w:tc>
        <w:tc>
          <w:tcPr>
            <w:tcW w:type="dxa" w:w="35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https://www.fda.gov/</w:t>
            </w:r>
          </w:p>
        </w:tc>
      </w:tr>
      <w:tr>
        <w:tc>
          <w:tcPr>
            <w:tcW w:type="dxa" w:w="180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ClinicalTrials.gov</w:t>
            </w:r>
          </w:p>
        </w:tc>
        <w:tc>
          <w:tcPr>
            <w:tcW w:type="dxa" w:w="432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Trial records</w:t>
            </w:r>
          </w:p>
        </w:tc>
        <w:tc>
          <w:tcPr>
            <w:tcW w:type="dxa" w:w="35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https://clinicaltrials.gov/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USPTO</w:t>
            </w:r>
          </w:p>
        </w:tc>
        <w:tc>
          <w:tcPr>
            <w:tcW w:type="dxa" w:w="432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Patent and trademark records</w:t>
            </w:r>
          </w:p>
        </w:tc>
        <w:tc>
          <w:tcPr>
            <w:tcW w:type="dxa" w:w="35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https://www.uspto.gov/</w:t>
            </w:r>
          </w:p>
        </w:tc>
      </w:tr>
      <w:tr>
        <w:tc>
          <w:tcPr>
            <w:tcW w:type="dxa" w:w="180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PubMed</w:t>
            </w:r>
          </w:p>
        </w:tc>
        <w:tc>
          <w:tcPr>
            <w:tcW w:type="dxa" w:w="4320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Scholarly metadata</w:t>
            </w:r>
          </w:p>
        </w:tc>
        <w:tc>
          <w:tcPr>
            <w:tcW w:type="dxa" w:w="3528"/>
            <w:shd w:fill="E4ECE9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https://pubmed.ncbi.nlm.nih.gov/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Crossref</w:t>
            </w:r>
          </w:p>
        </w:tc>
        <w:tc>
          <w:tcPr>
            <w:tcW w:type="dxa" w:w="4320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Scholarly metadata</w:t>
            </w:r>
          </w:p>
        </w:tc>
        <w:tc>
          <w:tcPr>
            <w:tcW w:type="dxa" w:w="3528"/>
            <w:shd w:fill="FFFFFF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0242B"/>
                <w:sz w:val="15"/>
              </w:rPr>
              <w:t>https://www.crossref.org/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526"/>
    </w:tblGrid>
    <w:tr>
      <w:tc>
        <w:tcPr>
          <w:tcW w:type="dxa" w:w="4939"/>
          <w:vAlign w:val="top"/>
          <w:tcMar>
            <w:top w:w="100" w:type="dxa"/>
            <w:start w:w="120" w:type="dxa"/>
            <w:bottom w:w="100" w:type="dxa"/>
            <w:end w:w="120" w:type="dxa"/>
          </w:tcMar>
          <w:tcBorders/>
        </w:tcPr>
        <w:p>
          <w:pPr>
            <w:spacing w:after="0"/>
          </w:pPr>
          <w:r/>
          <w:r>
            <w:rPr>
              <w:rFonts w:ascii="Aptos" w:hAnsi="Aptos"/>
              <w:b w:val="0"/>
              <w:i w:val="0"/>
              <w:color w:val="586A6F"/>
              <w:sz w:val="15"/>
            </w:rPr>
            <w:t>Prepared for Will Hargreaves / Real Chemistry</w:t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86A6F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5" w:color="C9D5D1"/>
      </w:pBdr>
    </w:pPr>
    <w:r>
      <w:rPr>
        <w:rFonts w:ascii="Aptos" w:hAnsi="Aptos"/>
        <w:b/>
        <w:i w:val="0"/>
        <w:color w:val="087C76"/>
        <w:sz w:val="16"/>
      </w:rPr>
      <w:t>INFLECTION RADAR</w:t>
    </w:r>
    <w:r>
      <w:rPr>
        <w:rFonts w:ascii="Aptos" w:hAnsi="Aptos"/>
        <w:b w:val="0"/>
        <w:i w:val="0"/>
        <w:color w:val="586A6F"/>
        <w:sz w:val="16"/>
      </w:rPr>
      <w:t xml:space="preserve">   /   INTERNAL RESEARCH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0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4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87C7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024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024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86A6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Inflection Radar</dc:subject>
  <dc:creator>Rayven-Nikkita Collins</dc:creator>
  <cp:keywords>Real Chemistry; Pilot 1; opportunity intelligence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