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t>FX ドル円 自動売買スキーム 設計書（第2版）</w:t>
      </w:r>
    </w:p>
    <w:p>
      <w:pPr>
        <w:jc w:val="center"/>
      </w:pPr>
      <w:r>
        <w:rPr>
          <w:sz w:val="24"/>
        </w:rPr>
        <w:t>― MATRIX TRADER運用 / 2システム構成 / 指標イベント勘案 / 日次自動進化 ―</w:t>
      </w:r>
    </w:p>
    <w:p>
      <w:pPr>
        <w:jc w:val="center"/>
      </w:pPr>
      <w:r>
        <w:t>作成: 2026年7月28日（第2版: 2システム化・指標フィルタ・自動進化を追加）</w:t>
      </w:r>
    </w:p>
    <w:p/>
    <w:p>
      <w:pPr>
        <w:pStyle w:val="Heading1"/>
      </w:pPr>
      <w:r>
        <w:rPr>
          <w:color w:val="1F4E79"/>
        </w:rPr>
        <w:t>1. 目的と全体像</w:t>
      </w:r>
    </w:p>
    <w:p>
      <w:r>
        <w:rPr>
          <w:b w:val="0"/>
        </w:rPr>
        <w:t>米ドル/円を対象に、性質の異なる2系統の機械的売買ルール（長期トレンド＋短期スイング）を並走させ、感情による裁量を排除した運用を行う。判定・数量計算・指標イベント確認・注文指示書の作成・Driveダッシュボード更新までをMacが毎朝自動で行い、発注のみ本人がMATRIX TRADERで行う（1日1回・約5分）。</w:t>
      </w:r>
    </w:p>
    <w:p>
      <w:pPr>
        <w:pStyle w:val="Heading1"/>
      </w:pPr>
      <w:r>
        <w:rPr>
          <w:color w:val="1F4E79"/>
        </w:rPr>
        <w:t>2. 重要な前提：JFX（MATRIX TRADER）の規約制約</w:t>
      </w:r>
    </w:p>
    <w:p>
      <w:r>
        <w:rPr>
          <w:b/>
        </w:rPr>
        <w:t>JFXは公式FAQで「EA（自動売買プログラム）はご利用いただけません」と明言しており、外部プログラムからの自動発注は規約違反（口座凍結リスク）。発注用APIも非提供。このため本スキームは判定までを自動化し発注は手動で行う「半自動方式」を採用する。</w:t>
      </w:r>
    </w:p>
    <w:p>
      <w:pPr>
        <w:pStyle w:val="Heading1"/>
      </w:pPr>
      <w:r>
        <w:rPr>
          <w:color w:val="1F4E79"/>
        </w:rPr>
        <w:t>3. シグナル系統（2システム）</w:t>
      </w:r>
    </w:p>
    <w:p>
      <w:r>
        <w:rPr>
          <w:b w:val="0"/>
        </w:rPr>
        <w:t>パラメータは研究モジュールにより日々進化するため、下表は2026-07-28時点の現行値。最新値はconfig.jsonとダッシュボードが正。</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項目</w:t>
            </w:r>
          </w:p>
        </w:tc>
        <w:tc>
          <w:tcPr>
            <w:tcW w:type="dxa" w:w="3324"/>
          </w:tcPr>
          <w:p>
            <w:r>
              <w:rPr>
                <w:b/>
              </w:rPr>
              <w:t>長期トレンド</w:t>
            </w:r>
          </w:p>
        </w:tc>
        <w:tc>
          <w:tcPr>
            <w:tcW w:type="dxa" w:w="3324"/>
          </w:tcPr>
          <w:p>
            <w:r>
              <w:rPr>
                <w:b/>
              </w:rPr>
              <w:t>短期スイング</w:t>
            </w:r>
          </w:p>
        </w:tc>
      </w:tr>
      <w:tr>
        <w:tc>
          <w:tcPr>
            <w:tcW w:type="dxa" w:w="3324"/>
          </w:tcPr>
          <w:p>
            <w:r>
              <w:t>戦略</w:t>
            </w:r>
          </w:p>
        </w:tc>
        <w:tc>
          <w:tcPr>
            <w:tcW w:type="dxa" w:w="3324"/>
          </w:tcPr>
          <w:p>
            <w:r>
              <w:t>ドンチャン40/10ブレイクアウト</w:t>
            </w:r>
          </w:p>
        </w:tc>
        <w:tc>
          <w:tcPr>
            <w:tcW w:type="dxa" w:w="3324"/>
          </w:tcPr>
          <w:p>
            <w:r>
              <w:t>ドンチャン20/8ブレイクアウト</w:t>
            </w:r>
          </w:p>
        </w:tc>
      </w:tr>
      <w:tr>
        <w:tc>
          <w:tcPr>
            <w:tcW w:type="dxa" w:w="3324"/>
          </w:tcPr>
          <w:p>
            <w:r>
              <w:t>役割</w:t>
            </w:r>
          </w:p>
        </w:tc>
        <w:tc>
          <w:tcPr>
            <w:tcW w:type="dxa" w:w="3324"/>
          </w:tcPr>
          <w:p>
            <w:r>
              <w:t>数週間〜数か月の大トレンドを獲る</w:t>
            </w:r>
          </w:p>
        </w:tc>
        <w:tc>
          <w:tcPr>
            <w:tcW w:type="dxa" w:w="3324"/>
          </w:tcPr>
          <w:p>
            <w:r>
              <w:t>数日〜2週間の波で回転を上げる</w:t>
            </w:r>
          </w:p>
        </w:tc>
      </w:tr>
      <w:tr>
        <w:tc>
          <w:tcPr>
            <w:tcW w:type="dxa" w:w="3324"/>
          </w:tcPr>
          <w:p>
            <w:r>
              <w:t>ストップ</w:t>
            </w:r>
          </w:p>
        </w:tc>
        <w:tc>
          <w:tcPr>
            <w:tcW w:type="dxa" w:w="3324"/>
          </w:tcPr>
          <w:p>
            <w:r>
              <w:t>ATR×3.5 シャンデリア式トレイル</w:t>
            </w:r>
          </w:p>
        </w:tc>
        <w:tc>
          <w:tcPr>
            <w:tcW w:type="dxa" w:w="3324"/>
          </w:tcPr>
          <w:p>
            <w:r>
              <w:t>ATR×1.5 シャンデリア式トレイル</w:t>
            </w:r>
          </w:p>
        </w:tc>
      </w:tr>
      <w:tr>
        <w:tc>
          <w:tcPr>
            <w:tcW w:type="dxa" w:w="3324"/>
          </w:tcPr>
          <w:p>
            <w:r>
              <w:t>1トレードのリスク</w:t>
            </w:r>
          </w:p>
        </w:tc>
        <w:tc>
          <w:tcPr>
            <w:tcW w:type="dxa" w:w="3324"/>
          </w:tcPr>
          <w:p>
            <w:r>
              <w:t>資金の1.0%</w:t>
            </w:r>
          </w:p>
        </w:tc>
        <w:tc>
          <w:tcPr>
            <w:tcW w:type="dxa" w:w="3324"/>
          </w:tcPr>
          <w:p>
            <w:r>
              <w:t>資金の0.5%</w:t>
            </w:r>
          </w:p>
        </w:tc>
      </w:tr>
      <w:tr>
        <w:tc>
          <w:tcPr>
            <w:tcW w:type="dxa" w:w="3324"/>
          </w:tcPr>
          <w:p>
            <w:r>
              <w:t>レバレッジ上限</w:t>
            </w:r>
          </w:p>
        </w:tc>
        <w:tc>
          <w:tcPr>
            <w:tcW w:type="dxa" w:w="3324"/>
          </w:tcPr>
          <w:p>
            <w:r>
              <w:t>1.5倍</w:t>
            </w:r>
          </w:p>
        </w:tc>
        <w:tc>
          <w:tcPr>
            <w:tcW w:type="dxa" w:w="3324"/>
          </w:tcPr>
          <w:p>
            <w:r>
              <w:t>1.5倍（合算3倍以内）</w:t>
            </w:r>
          </w:p>
        </w:tc>
      </w:tr>
      <w:tr>
        <w:tc>
          <w:tcPr>
            <w:tcW w:type="dxa" w:w="3324"/>
          </w:tcPr>
          <w:p>
            <w:r>
              <w:t>取引頻度(15年平均)</w:t>
            </w:r>
          </w:p>
        </w:tc>
        <w:tc>
          <w:tcPr>
            <w:tcW w:type="dxa" w:w="3324"/>
          </w:tcPr>
          <w:p>
            <w:r>
              <w:t>年4回程度</w:t>
            </w:r>
          </w:p>
        </w:tc>
        <w:tc>
          <w:tcPr>
            <w:tcW w:type="dxa" w:w="3324"/>
          </w:tcPr>
          <w:p>
            <w:r>
              <w:t>年18回程度</w:t>
            </w:r>
          </w:p>
        </w:tc>
      </w:tr>
      <w:tr>
        <w:tc>
          <w:tcPr>
            <w:tcW w:type="dxa" w:w="3324"/>
          </w:tcPr>
          <w:p>
            <w:r>
              <w:t>執行</w:t>
            </w:r>
          </w:p>
        </w:tc>
        <w:tc>
          <w:tcPr>
            <w:tcW w:type="dxa" w:w="3324"/>
          </w:tcPr>
          <w:p>
            <w:r>
              <w:t>日足確定→翌朝、成行＋決済逆指値</w:t>
            </w:r>
          </w:p>
        </w:tc>
        <w:tc>
          <w:tcPr>
            <w:tcW w:type="dxa" w:w="3324"/>
          </w:tcPr>
          <w:p>
            <w:r>
              <w:t>同左</w:t>
            </w:r>
          </w:p>
        </w:tc>
      </w:tr>
    </w:tbl>
    <w:p/>
    <w:p>
      <w:pPr>
        <w:pStyle w:val="Heading1"/>
      </w:pPr>
      <w:r>
        <w:rPr>
          <w:color w:val="1F4E79"/>
        </w:rPr>
        <w:t>4. バックテスト（2011/7〜2026/7・初期資金100万円・コスト片道0.4銭）</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指標</w:t>
            </w:r>
          </w:p>
        </w:tc>
        <w:tc>
          <w:tcPr>
            <w:tcW w:type="dxa" w:w="2493"/>
          </w:tcPr>
          <w:p>
            <w:r>
              <w:rPr>
                <w:b/>
              </w:rPr>
              <w:t>長期トレンド</w:t>
            </w:r>
          </w:p>
        </w:tc>
        <w:tc>
          <w:tcPr>
            <w:tcW w:type="dxa" w:w="2493"/>
          </w:tcPr>
          <w:p>
            <w:r>
              <w:rPr>
                <w:b/>
              </w:rPr>
              <w:t>短期スイング</w:t>
            </w:r>
          </w:p>
        </w:tc>
        <w:tc>
          <w:tcPr>
            <w:tcW w:type="dxa" w:w="2493"/>
          </w:tcPr>
          <w:p>
            <w:r>
              <w:rPr>
                <w:b/>
              </w:rPr>
              <w:t>2システム合成</w:t>
            </w:r>
          </w:p>
        </w:tc>
      </w:tr>
      <w:tr>
        <w:tc>
          <w:tcPr>
            <w:tcW w:type="dxa" w:w="2493"/>
          </w:tcPr>
          <w:p>
            <w:r>
              <w:t>総リターン</w:t>
            </w:r>
          </w:p>
        </w:tc>
        <w:tc>
          <w:tcPr>
            <w:tcW w:type="dxa" w:w="2493"/>
          </w:tcPr>
          <w:p>
            <w:r>
              <w:t>+29.6%</w:t>
            </w:r>
          </w:p>
        </w:tc>
        <w:tc>
          <w:tcPr>
            <w:tcW w:type="dxa" w:w="2493"/>
          </w:tcPr>
          <w:p>
            <w:r>
              <w:t>+34.1%</w:t>
            </w:r>
          </w:p>
        </w:tc>
        <w:tc>
          <w:tcPr>
            <w:tcW w:type="dxa" w:w="2493"/>
          </w:tcPr>
          <w:p>
            <w:r>
              <w:t>+63.7%（年率+3.2%）</w:t>
            </w:r>
          </w:p>
        </w:tc>
      </w:tr>
      <w:tr>
        <w:tc>
          <w:tcPr>
            <w:tcW w:type="dxa" w:w="2493"/>
          </w:tcPr>
          <w:p>
            <w:r>
              <w:t>プロフィットファクター</w:t>
            </w:r>
          </w:p>
        </w:tc>
        <w:tc>
          <w:tcPr>
            <w:tcW w:type="dxa" w:w="2493"/>
          </w:tcPr>
          <w:p>
            <w:r>
              <w:t>2.89</w:t>
            </w:r>
          </w:p>
        </w:tc>
        <w:tc>
          <w:tcPr>
            <w:tcW w:type="dxa" w:w="2493"/>
          </w:tcPr>
          <w:p>
            <w:r>
              <w:t>1.67</w:t>
            </w:r>
          </w:p>
        </w:tc>
        <w:tc>
          <w:tcPr>
            <w:tcW w:type="dxa" w:w="2493"/>
          </w:tcPr>
          <w:p>
            <w:r>
              <w:t>－</w:t>
            </w:r>
          </w:p>
        </w:tc>
      </w:tr>
      <w:tr>
        <w:tc>
          <w:tcPr>
            <w:tcW w:type="dxa" w:w="2493"/>
          </w:tcPr>
          <w:p>
            <w:r>
              <w:t>勝率</w:t>
            </w:r>
          </w:p>
        </w:tc>
        <w:tc>
          <w:tcPr>
            <w:tcW w:type="dxa" w:w="2493"/>
          </w:tcPr>
          <w:p>
            <w:r>
              <w:t>45%</w:t>
            </w:r>
          </w:p>
        </w:tc>
        <w:tc>
          <w:tcPr>
            <w:tcW w:type="dxa" w:w="2493"/>
          </w:tcPr>
          <w:p>
            <w:r>
              <w:t>46%</w:t>
            </w:r>
          </w:p>
        </w:tc>
        <w:tc>
          <w:tcPr>
            <w:tcW w:type="dxa" w:w="2493"/>
          </w:tcPr>
          <w:p>
            <w:r>
              <w:t>－</w:t>
            </w:r>
          </w:p>
        </w:tc>
      </w:tr>
      <w:tr>
        <w:tc>
          <w:tcPr>
            <w:tcW w:type="dxa" w:w="2493"/>
          </w:tcPr>
          <w:p>
            <w:r>
              <w:t>最大ドローダウン</w:t>
            </w:r>
          </w:p>
        </w:tc>
        <w:tc>
          <w:tcPr>
            <w:tcW w:type="dxa" w:w="2493"/>
          </w:tcPr>
          <w:p>
            <w:r>
              <w:t>-3.2%</w:t>
            </w:r>
          </w:p>
        </w:tc>
        <w:tc>
          <w:tcPr>
            <w:tcW w:type="dxa" w:w="2493"/>
          </w:tcPr>
          <w:p>
            <w:r>
              <w:t>-3.5%</w:t>
            </w:r>
          </w:p>
        </w:tc>
        <w:tc>
          <w:tcPr>
            <w:tcW w:type="dxa" w:w="2493"/>
          </w:tcPr>
          <w:p>
            <w:r>
              <w:t>-5.3%</w:t>
            </w:r>
          </w:p>
        </w:tc>
      </w:tr>
      <w:tr>
        <w:tc>
          <w:tcPr>
            <w:tcW w:type="dxa" w:w="2493"/>
          </w:tcPr>
          <w:p>
            <w:r>
              <w:t>取引回数</w:t>
            </w:r>
          </w:p>
        </w:tc>
        <w:tc>
          <w:tcPr>
            <w:tcW w:type="dxa" w:w="2493"/>
          </w:tcPr>
          <w:p>
            <w:r>
              <w:t>64回</w:t>
            </w:r>
          </w:p>
        </w:tc>
        <w:tc>
          <w:tcPr>
            <w:tcW w:type="dxa" w:w="2493"/>
          </w:tcPr>
          <w:p>
            <w:r>
              <w:t>276回</w:t>
            </w:r>
          </w:p>
        </w:tc>
        <w:tc>
          <w:tcPr>
            <w:tcW w:type="dxa" w:w="2493"/>
          </w:tcPr>
          <w:p>
            <w:r>
              <w:t>340回</w:t>
            </w:r>
          </w:p>
        </w:tc>
      </w:tr>
      <w:tr>
        <w:tc>
          <w:tcPr>
            <w:tcW w:type="dxa" w:w="2493"/>
          </w:tcPr>
          <w:p>
            <w:r>
              <w:t>前半/後半PF（頑健性）</w:t>
            </w:r>
          </w:p>
        </w:tc>
        <w:tc>
          <w:tcPr>
            <w:tcW w:type="dxa" w:w="2493"/>
          </w:tcPr>
          <w:p>
            <w:r>
              <w:t>3.00 / 2.72</w:t>
            </w:r>
          </w:p>
        </w:tc>
        <w:tc>
          <w:tcPr>
            <w:tcW w:type="dxa" w:w="2493"/>
          </w:tcPr>
          <w:p>
            <w:r>
              <w:t>1.64 / 1.70</w:t>
            </w:r>
          </w:p>
        </w:tc>
        <w:tc>
          <w:tcPr>
            <w:tcW w:type="dxa" w:w="2493"/>
          </w:tcPr>
          <w:p>
            <w:r>
              <w:t>両期間プラス</w:t>
            </w:r>
          </w:p>
        </w:tc>
      </w:tr>
    </w:tbl>
    <w:p/>
    <w:p>
      <w:r>
        <w:rPr>
          <w:b w:val="0"/>
        </w:rPr>
        <w:t>なお「毎日〜数日おきに必ず取引する」超高頻度案（RSI押し目・陰線押し目等、年25〜50回）も検証したが、PF1.05〜1.14とスプレッドコストに利益が食われ頑健性基準を満たさなかったため不採用。短期スイングは頑健性が確認できる範囲で取引頻度を最大化した構成である（頻度下限=年16回相当を研究ゲートに組込み）。</w:t>
      </w:r>
    </w:p>
    <w:p>
      <w:pPr>
        <w:pStyle w:val="Heading1"/>
      </w:pPr>
      <w:r>
        <w:rPr>
          <w:color w:val="1F4E79"/>
        </w:rPr>
        <w:t>5. 指標イベントの勘案</w:t>
      </w:r>
    </w:p>
    <w:p>
      <w:pPr>
        <w:pStyle w:val="ListBullet"/>
      </w:pPr>
      <w:r>
        <w:t>毎朝、経済指標カレンダー（Forex Factory公開フィード）から今後24時間の高重要度USD/JPYイベント（FOMC・米雇用統計・米CPI・日銀会合等）を自動取得し、指示書に一覧表示する</w:t>
      </w:r>
    </w:p>
    <w:p>
      <w:pPr>
        <w:pStyle w:val="ListBullet"/>
      </w:pPr>
      <w:r>
        <w:t>高重要度イベントがある日は全システムの新規建てを自動見送り（翌朝再判定）。既存玉の決済・トレイリングは通常どおり（ストップは常に維持されているため急変動にも備えができている）</w:t>
      </w:r>
    </w:p>
    <w:p>
      <w:pPr>
        <w:pStyle w:val="ListBullet"/>
      </w:pPr>
      <w:r>
        <w:t>カレンダー取得失敗時は見送りを行わず「手動確認推奨」を指示書に明記（フェイルオープン）</w:t>
      </w:r>
    </w:p>
    <w:p>
      <w:pPr>
        <w:pStyle w:val="Heading1"/>
      </w:pPr>
      <w:r>
        <w:rPr>
          <w:color w:val="1F4E79"/>
        </w:rPr>
        <w:t>6. 資金・リスク管理規程</w:t>
      </w:r>
    </w:p>
    <w:p>
      <w:pPr>
        <w:pStyle w:val="ListBullet"/>
      </w:pPr>
      <w:r>
        <w:t>1トレードのリスク: 長期1.0%・短期0.5%（ストップ幅から数量を逆算、1,000通貨単位切捨て）</w:t>
      </w:r>
    </w:p>
    <w:p>
      <w:pPr>
        <w:pStyle w:val="ListBullet"/>
      </w:pPr>
      <w:r>
        <w:t>実効レバレッジ: 各システム1.5倍以内・合算3倍以内（法令上限25倍に対し大幅に保守的）</w:t>
      </w:r>
    </w:p>
    <w:p>
      <w:pPr>
        <w:pStyle w:val="ListBullet"/>
      </w:pPr>
      <w:r>
        <w:t>口座資産がピークから20%減で全システム新規停止・ルール再検証（キルスイッチ）</w:t>
      </w:r>
    </w:p>
    <w:p>
      <w:pPr>
        <w:pStyle w:val="ListBullet"/>
      </w:pPr>
      <w:r>
        <w:t>逆指値（ストップ）のない建玉を持つことを禁止。両システムの建玉は数量で識別し、決済逆指値は建玉ごとに設定</w:t>
      </w:r>
    </w:p>
    <w:p>
      <w:pPr>
        <w:pStyle w:val="ListBullet"/>
      </w:pPr>
      <w:r>
        <w:t>2システムが同方向に建つと最大9,000通貨程度の同方向持ちになる（想定内）。逆方向の場合は両建てとなるため、MATRIX TRADERの両建て設定をONにしておく（スプレッド二重負担は発生するが頻度は低い）</w:t>
      </w:r>
    </w:p>
    <w:p>
      <w:pPr>
        <w:pStyle w:val="Heading1"/>
      </w:pPr>
      <w:r>
        <w:rPr>
          <w:color w:val="1F4E79"/>
        </w:rPr>
        <w:t>7. 日次運用フロー</w:t>
      </w:r>
    </w:p>
    <w:tbl>
      <w:tblPr>
        <w:tblStyle w:val="TableGrid"/>
        <w:tblW w:type="auto" w:w="0"/>
        <w:tblLook w:firstColumn="1" w:firstRow="1" w:lastColumn="0" w:lastRow="0" w:noHBand="0" w:noVBand="1" w:val="04A0"/>
      </w:tblPr>
      <w:tblGrid>
        <w:gridCol w:w="4986"/>
        <w:gridCol w:w="4986"/>
      </w:tblGrid>
      <w:tr>
        <w:tc>
          <w:tcPr>
            <w:tcW w:type="dxa" w:w="4986"/>
          </w:tcPr>
          <w:p>
            <w:r>
              <w:rPr>
                <w:b/>
              </w:rPr>
              <w:t>時刻(JST)</w:t>
            </w:r>
          </w:p>
        </w:tc>
        <w:tc>
          <w:tcPr>
            <w:tcW w:type="dxa" w:w="4986"/>
          </w:tcPr>
          <w:p>
            <w:r>
              <w:rPr>
                <w:b/>
              </w:rPr>
              <w:t>内容</w:t>
            </w:r>
          </w:p>
        </w:tc>
      </w:tr>
      <w:tr>
        <w:tc>
          <w:tcPr>
            <w:tcW w:type="dxa" w:w="4986"/>
          </w:tcPr>
          <w:p>
            <w:r>
              <w:t>6:06</w:t>
            </w:r>
          </w:p>
        </w:tc>
        <w:tc>
          <w:tcPr>
            <w:tcW w:type="dxa" w:w="4986"/>
          </w:tcPr>
          <w:p>
            <w:r>
              <w:t>【速報①】参考配信（状態更新なし）。スマホ通知</w:t>
            </w:r>
          </w:p>
        </w:tc>
      </w:tr>
      <w:tr>
        <w:tc>
          <w:tcPr>
            <w:tcW w:type="dxa" w:w="4986"/>
          </w:tcPr>
          <w:p>
            <w:r>
              <w:t>7:06</w:t>
            </w:r>
          </w:p>
        </w:tc>
        <w:tc>
          <w:tcPr>
            <w:tcW w:type="dxa" w:w="4986"/>
          </w:tcPr>
          <w:p>
            <w:r>
              <w:t>【速報②】参考配信。速報①からの変化を明記</w:t>
            </w:r>
          </w:p>
        </w:tc>
      </w:tr>
      <w:tr>
        <w:tc>
          <w:tcPr>
            <w:tcW w:type="dxa" w:w="4986"/>
          </w:tcPr>
          <w:p>
            <w:r>
              <w:t>8:06</w:t>
            </w:r>
          </w:p>
        </w:tc>
        <w:tc>
          <w:tcPr>
            <w:tcW w:type="dxa" w:w="4986"/>
          </w:tcPr>
          <w:p>
            <w:r>
              <w:t>【最終確定】正式指示。両システムの発注/変更/待機＋指標イベント欄。発注はこれに従う</w:t>
            </w:r>
          </w:p>
        </w:tc>
      </w:tr>
      <w:tr>
        <w:tc>
          <w:tcPr>
            <w:tcW w:type="dxa" w:w="4986"/>
          </w:tcPr>
          <w:p>
            <w:r>
              <w:t>8:10頃</w:t>
            </w:r>
          </w:p>
        </w:tc>
        <w:tc>
          <w:tcPr>
            <w:tcW w:type="dxa" w:w="4986"/>
          </w:tcPr>
          <w:p>
            <w:r>
              <w:t>日次研究（315+207通りの探索）→基準を満たせば翌朝からパラメータ進化</w:t>
            </w:r>
          </w:p>
        </w:tc>
      </w:tr>
      <w:tr>
        <w:tc>
          <w:tcPr>
            <w:tcW w:type="dxa" w:w="4986"/>
          </w:tcPr>
          <w:p>
            <w:r>
              <w:t>同時</w:t>
            </w:r>
          </w:p>
        </w:tc>
        <w:tc>
          <w:tcPr>
            <w:tcW w:type="dxa" w:w="4986"/>
          </w:tcPr>
          <w:p>
            <w:r>
              <w:t>Driveの運用ダッシュボード自動更新・指示書コピー</w:t>
            </w:r>
          </w:p>
        </w:tc>
      </w:tr>
      <w:tr>
        <w:tc>
          <w:tcPr>
            <w:tcW w:type="dxa" w:w="4986"/>
          </w:tcPr>
          <w:p>
            <w:r>
              <w:t>月1回</w:t>
            </w:r>
          </w:p>
        </w:tc>
        <w:tc>
          <w:tcPr>
            <w:tcW w:type="dxa" w:w="4986"/>
          </w:tcPr>
          <w:p>
            <w:r>
              <w:t>config.jsonの口座資金を実残高に更新。実績とモデルの乖離レビュー</w:t>
            </w:r>
          </w:p>
        </w:tc>
      </w:tr>
    </w:tbl>
    <w:p/>
    <w:p>
      <w:pPr>
        <w:pStyle w:val="Heading1"/>
      </w:pPr>
      <w:r>
        <w:rPr>
          <w:color w:val="1F4E79"/>
        </w:rPr>
        <w:t>8. 自動進化（日次研究）の頑健性ゲート</w:t>
      </w:r>
    </w:p>
    <w:p>
      <w:pPr>
        <w:pStyle w:val="ListBullet"/>
      </w:pPr>
      <w:r>
        <w:t>前半(〜2018)・後半(2019〜)の両期間でPF基準クリア（長期1.3以上・短期1.25以上）</w:t>
      </w:r>
    </w:p>
    <w:p>
      <w:pPr>
        <w:pStyle w:val="ListBullet"/>
      </w:pPr>
      <w:r>
        <w:t>取引数下限: 長期60回・短期250回（短期の「回転を上げる」役割を守るための頻度下限）</w:t>
      </w:r>
    </w:p>
    <w:p>
      <w:pPr>
        <w:pStyle w:val="ListBullet"/>
      </w:pPr>
      <w:r>
        <w:t>最大DD -12%以内、かつ現行パラメータの頑健スコア（前後半PFの小さい方）の1.05倍以上</w:t>
      </w:r>
    </w:p>
    <w:p>
      <w:pPr>
        <w:pStyle w:val="ListBullet"/>
      </w:pPr>
      <w:r>
        <w:t>全探索結果はresearch_log.csvとダッシュボード「研究ログ」シートに記録。採用時はスマホに【スキーム進化】通知</w:t>
      </w:r>
    </w:p>
    <w:p>
      <w:pPr>
        <w:pStyle w:val="Heading1"/>
      </w:pPr>
      <w:r>
        <w:rPr>
          <w:color w:val="1F4E79"/>
        </w:rPr>
        <w:t>9. Google Drive連動</w:t>
      </w:r>
    </w:p>
    <w:p>
      <w:pPr>
        <w:pStyle w:val="ListBullet"/>
      </w:pPr>
      <w:r>
        <w:t>マイドライブ/FXドル円自動売買/FXドル円_運用ダッシュボード.xlsx を毎朝自動更新（本日の状況・KPI・注文指示・資産グラフ・研究状況の5シート。スマホDriveアプリ閲覧可）</w:t>
      </w:r>
    </w:p>
    <w:p>
      <w:pPr>
        <w:pStyle w:val="ListBullet"/>
      </w:pPr>
      <w:r>
        <w:t>同フォルダに毎日の確定指示書コピー・設計書・バックテスト結果を格納</w:t>
      </w:r>
    </w:p>
    <w:p>
      <w:pPr>
        <w:pStyle w:val="ListBullet"/>
      </w:pPr>
      <w:r>
        <w:t>ダッシュボードは毎朝上書き再生成のため閲覧専用とする（メモは別ファイルへ）</w:t>
      </w:r>
    </w:p>
    <w:p>
      <w:pPr>
        <w:pStyle w:val="Heading1"/>
      </w:pPr>
      <w:r>
        <w:rPr>
          <w:color w:val="1F4E79"/>
        </w:rPr>
        <w:t>10. 規制・税制の留意点（国内・個人）</w:t>
      </w:r>
    </w:p>
    <w:p>
      <w:pPr>
        <w:pStyle w:val="ListBullet"/>
      </w:pPr>
      <w:r>
        <w:t>店頭FXのレバレッジは法令上最大25倍。本スキームは合算3倍以内で運用</w:t>
      </w:r>
    </w:p>
    <w:p>
      <w:pPr>
        <w:pStyle w:val="ListBullet"/>
      </w:pPr>
      <w:r>
        <w:t>FXの利益は申告分離課税20.315%。損失は翌年以降3年間繰越可能（要確定申告）</w:t>
      </w:r>
    </w:p>
    <w:p>
      <w:pPr>
        <w:pStyle w:val="ListBullet"/>
      </w:pPr>
      <w:r>
        <w:t>JFXの禁止事項（自動売買等）は口座開設時の約款原本で必ず確認</w:t>
      </w:r>
    </w:p>
    <w:p>
      <w:pPr>
        <w:pStyle w:val="ListBullet"/>
      </w:pPr>
      <w:r>
        <w:t>スワップポイントは検証モデルに含まない。月次レビューで実績差を確認</w:t>
      </w:r>
    </w:p>
    <w:p>
      <w:pPr>
        <w:pStyle w:val="Heading1"/>
      </w:pPr>
      <w:r>
        <w:rPr>
          <w:color w:val="1F4E79"/>
        </w:rPr>
        <w:t>11. リスクと免責</w:t>
      </w:r>
    </w:p>
    <w:p>
      <w:pPr>
        <w:pStyle w:val="ListBullet"/>
      </w:pPr>
      <w:r>
        <w:t>過去の検証結果は将来の成果を保証しない。相場環境の変化でルールが機能しなくなる可能性がある</w:t>
      </w:r>
    </w:p>
    <w:p>
      <w:pPr>
        <w:pStyle w:val="ListBullet"/>
      </w:pPr>
      <w:r>
        <w:t>急激な窓開け・流動性低下時はストップ注文が指定価格で約定しない（滑る）ことがある</w:t>
      </w:r>
    </w:p>
    <w:p>
      <w:pPr>
        <w:pStyle w:val="ListBullet"/>
      </w:pPr>
      <w:r>
        <w:t>投資判断は本人の責任で行うこと。本設計書は情報提供であり投資助言ではない</w:t>
      </w:r>
    </w:p>
    <w:p>
      <w:pPr>
        <w:pStyle w:val="ListBullet"/>
      </w:pPr>
      <w:r>
        <w:t>運用は生活資金と分離した余裕資金で行い、キルスイッチ（-20%）発動時は必ず停止する</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