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BC1DF" w14:textId="69CDF863" w:rsidR="64D65FC3" w:rsidRDefault="335537AB" w:rsidP="335537AB">
      <w:pPr>
        <w:spacing w:beforeAutospacing="1" w:afterAutospacing="1" w:line="240" w:lineRule="auto"/>
        <w:ind w:firstLine="0"/>
        <w:rPr>
          <w:color w:val="000000" w:themeColor="text1"/>
          <w:szCs w:val="20"/>
          <w:lang w:val="en-US"/>
        </w:rPr>
      </w:pPr>
      <w:r w:rsidRPr="335537AB">
        <w:rPr>
          <w:b/>
          <w:bCs/>
          <w:color w:val="000000" w:themeColor="text1"/>
          <w:szCs w:val="20"/>
        </w:rPr>
        <w:t xml:space="preserve">IMPORTANT NOTE: </w:t>
      </w:r>
      <w:r w:rsidRPr="335537AB">
        <w:rPr>
          <w:color w:val="000000" w:themeColor="text1"/>
          <w:szCs w:val="20"/>
        </w:rPr>
        <w:t xml:space="preserve">The following is a thorough annotation of a subset of clusters we identified within our transcriptional heterogeneity analysis project. Currently we are considering publishing this series of documents independently of the main paper, as an online resource for users to reference when diving into our pan-cancer atlas. These will be then updated with time as new and better information emerges. Alternatively, a stripped-down version could be published as supplemental information.                  </w:t>
      </w:r>
    </w:p>
    <w:p w14:paraId="78E85822" w14:textId="31BEE519" w:rsidR="64D65FC3" w:rsidRDefault="64D65FC3" w:rsidP="64D65FC3">
      <w:pPr>
        <w:spacing w:beforeAutospacing="1" w:afterAutospacing="1" w:line="240" w:lineRule="auto"/>
        <w:ind w:right="0" w:firstLine="0"/>
        <w:rPr>
          <w:b/>
          <w:bCs/>
          <w:color w:val="000000" w:themeColor="text1"/>
          <w:szCs w:val="20"/>
        </w:rPr>
      </w:pPr>
    </w:p>
    <w:p w14:paraId="500D4111" w14:textId="111F3D91" w:rsidR="64D65FC3" w:rsidRDefault="64D65FC3" w:rsidP="64D65FC3">
      <w:pPr>
        <w:spacing w:beforeAutospacing="1" w:afterAutospacing="1" w:line="240" w:lineRule="auto"/>
        <w:ind w:right="0" w:firstLine="0"/>
        <w:rPr>
          <w:b/>
          <w:bCs/>
          <w:color w:val="auto"/>
        </w:rPr>
      </w:pPr>
    </w:p>
    <w:p w14:paraId="7CB84979" w14:textId="014F4105" w:rsidR="00AE5A14" w:rsidRPr="00D43831" w:rsidRDefault="00AE5A14" w:rsidP="00AE5A14">
      <w:pPr>
        <w:spacing w:before="100" w:beforeAutospacing="1" w:after="100" w:afterAutospacing="1" w:line="240" w:lineRule="auto"/>
        <w:ind w:right="0" w:firstLine="0"/>
        <w:rPr>
          <w:b/>
          <w:bCs/>
          <w:color w:val="auto"/>
        </w:rPr>
      </w:pPr>
      <w:r w:rsidRPr="00D43831">
        <w:rPr>
          <w:b/>
          <w:bCs/>
          <w:color w:val="auto"/>
        </w:rPr>
        <w:t>T001 Neuroblastoma</w:t>
      </w:r>
    </w:p>
    <w:p w14:paraId="44E79EB1" w14:textId="3DDE2A2E" w:rsidR="00AE5A14" w:rsidRPr="00D43831" w:rsidRDefault="32EC528B" w:rsidP="32EC528B">
      <w:pPr>
        <w:spacing w:before="100" w:beforeAutospacing="1" w:after="100" w:afterAutospacing="1" w:line="240" w:lineRule="auto"/>
        <w:ind w:right="0" w:firstLine="0"/>
        <w:rPr>
          <w:color w:val="auto"/>
        </w:rPr>
      </w:pPr>
      <w:r w:rsidRPr="00D43831">
        <w:rPr>
          <w:color w:val="auto"/>
        </w:rPr>
        <w:t>A total of 180 samples were labelled as neuroblastoma in our reference dataset, 162 of which are from TARGET while the rest are from different sources within the TreeHouse initiative.  RACCOON identified four separate subclusters within the neuroblastoma parent class (</w:t>
      </w:r>
      <w:r w:rsidR="00D43831" w:rsidRPr="00D43831">
        <w:rPr>
          <w:color w:val="auto"/>
        </w:rPr>
        <w:t>Fig.</w:t>
      </w:r>
      <w:r w:rsidRPr="00D43831">
        <w:rPr>
          <w:color w:val="auto"/>
        </w:rPr>
        <w:t xml:space="preserve"> 5a). They exhibit different molecular profiles and clinical outcomes, roughly overlapping with microarray expression clusters described in literature</w:t>
      </w:r>
      <w:r w:rsidR="00AE5A14" w:rsidRPr="00D43831">
        <w:rPr>
          <w:color w:val="auto"/>
        </w:rPr>
        <w:fldChar w:fldCharType="begin"/>
      </w:r>
      <w:r w:rsidR="00AE5A14" w:rsidRPr="00D43831">
        <w:rPr>
          <w:color w:val="auto"/>
        </w:rPr>
        <w:instrText>ADDIN F1000_CSL_CITATION&lt;~#@#~&gt;[{"DOI":"10.1186/1475-2867-11-9","First":false,"Last":false,"PMCID":"PMC3095533","PMID":"21492432","abstract":"&lt;strong&gt;BACKGROUND:&lt;/strong&gt; There are currently three postulated genomic subtypes of the childhood tumour neuroblastoma (NB); Type 1, Type 2A, and Type 2B. The most aggressive forms of NB are characterized by amplification of the oncogene MYCN (MNA) and low expression of the favourable marker NTRK1. Recently, mutations or high expression of the familial predisposition gene Anaplastic Lymphoma Kinase (ALK) was associated to unfavourable biology of sporadic NB. Also, various other genes have been linked to NB pathogenesis.&lt;br&gt;&lt;br&gt;&lt;strong&gt;RESULTS:&lt;/strong&gt; The present study explores subgroup discrimination by gene expression profiling using three published microarray studies on NB (47 samples). Four distinct clusters were identified by Principal Components Analysis (PCA) in two separate data sets, which could be verified by an unsupervised hierarchical clustering in a third independent data set (101 NB samples) using a set of 74 discriminative genes. The expression signature of six NB-associated genes ALK, BIRC5, CCND1, MYCN, NTRK1, and PHOX2B, significantly discriminated the four clusters (p &lt;  0.05, one-way ANOVA test). PCA clusters p1, p2, and p3 were found to correspond well to the postulated subtypes 1, 2A, and 2B, respectively. Remarkably, a fourth novel cluster was detected in all three independent data sets. This cluster comprised mainly 11q-deleted MNA-negative tumours with low expression of ALK, BIRC5, and PHOX2B, and was significantly associated with higher tumour stage, poor outcome and poor survival compared to the Type 1-corresponding favourable group (INSS stage 4 and/or dead of disease, p &lt;  0.05, Fisher's exact test).&lt;br&gt;&lt;br&gt;&lt;strong&gt;CONCLUSIONS:&lt;/strong&gt; Based on expression profiling we have identified four molecular subgroups of neuroblastoma, which can be distinguished by a 6-gene signature. The fourth subgroup has not been described elsewhere, and efforts are currently made to further investigate this group's specific characteristics.","author":[{"family":"Abel","given":"Frida"},{"family":"Dalevi","given":"Daniel"},{"family":"Nethander","given":"Maria"},{"family":"Jörnsten","given":"Rebecka"},{"family":"De Preter","given":"Katleen"},{"family":"Vermeulen","given":"Joëlle"},{"family":"Stallings","given":"Raymond"},{"family":"Kogner","given":"Per"},{"family":"Maris","given":"John"},{"family":"Nilsson","given":"Staffan"}],"authorYearDisplayFormat":false,"citation-label":"4610626","container-title":"Cancer cell international","container-title-short":"Cancer Cell Int.","id":"4610626","invisible":false,"issued":{"date-parts":[["2011","4","14"]]},"journalAbbreviation":"Cancer Cell Int.","page":"9","suppress-author":false,"title":"A 6-gene signature identifies four molecular subgroups of neuroblastoma.","type":"article-journal","volume":"11"}]</w:instrText>
      </w:r>
      <w:r w:rsidR="00AE5A14" w:rsidRPr="00D43831">
        <w:rPr>
          <w:color w:val="auto"/>
        </w:rPr>
        <w:fldChar w:fldCharType="separate"/>
      </w:r>
      <w:r w:rsidRPr="00D43831">
        <w:rPr>
          <w:noProof/>
          <w:color w:val="auto"/>
          <w:vertAlign w:val="superscript"/>
        </w:rPr>
        <w:t>1</w:t>
      </w:r>
      <w:r w:rsidR="00AE5A14" w:rsidRPr="00D43831">
        <w:rPr>
          <w:color w:val="auto"/>
        </w:rPr>
        <w:fldChar w:fldCharType="end"/>
      </w:r>
      <w:r w:rsidRPr="00D43831">
        <w:rPr>
          <w:color w:val="auto"/>
        </w:rPr>
        <w:t>.</w:t>
      </w:r>
    </w:p>
    <w:p w14:paraId="43F3F445" w14:textId="63F529DD" w:rsidR="00AE5A14" w:rsidRPr="00D43831" w:rsidRDefault="32EC528B" w:rsidP="005C73CB">
      <w:pPr>
        <w:spacing w:line="240" w:lineRule="auto"/>
        <w:ind w:right="0" w:firstLine="0"/>
        <w:rPr>
          <w:color w:val="auto"/>
          <w:lang w:val="en-CA"/>
        </w:rPr>
      </w:pPr>
      <w:r w:rsidRPr="00D43831">
        <w:rPr>
          <w:b/>
          <w:bCs/>
          <w:color w:val="auto"/>
        </w:rPr>
        <w:t>T062 NEBLA MES ERBB2</w:t>
      </w:r>
      <w:r w:rsidRPr="00D43831">
        <w:rPr>
          <w:color w:val="auto"/>
        </w:rPr>
        <w:t>, the smallest cluster, contains a molecular signature which corresponds to microarray cluster p4</w:t>
      </w:r>
      <w:r w:rsidRPr="00D43831">
        <w:rPr>
          <w:color w:val="auto"/>
          <w:vertAlign w:val="superscript"/>
        </w:rPr>
        <w:t>3</w:t>
      </w:r>
      <w:r w:rsidRPr="00D43831">
        <w:rPr>
          <w:color w:val="auto"/>
        </w:rPr>
        <w:t xml:space="preserve"> and comprises </w:t>
      </w:r>
      <w:r w:rsidR="002775D7">
        <w:rPr>
          <w:color w:val="auto"/>
        </w:rPr>
        <w:t>Children’s Oncology Group (</w:t>
      </w:r>
      <w:r w:rsidRPr="00D43831">
        <w:rPr>
          <w:color w:val="auto"/>
        </w:rPr>
        <w:t>COG</w:t>
      </w:r>
      <w:r w:rsidR="002775D7">
        <w:rPr>
          <w:color w:val="auto"/>
        </w:rPr>
        <w:t>)</w:t>
      </w:r>
      <w:r w:rsidRPr="00D43831">
        <w:rPr>
          <w:color w:val="auto"/>
        </w:rPr>
        <w:t xml:space="preserve"> samples reported as </w:t>
      </w:r>
      <w:commentRangeStart w:id="0"/>
      <w:r w:rsidRPr="00D43831">
        <w:rPr>
          <w:color w:val="auto"/>
        </w:rPr>
        <w:t>high-risk</w:t>
      </w:r>
      <w:commentRangeEnd w:id="0"/>
      <w:r w:rsidR="00D462F3">
        <w:rPr>
          <w:rStyle w:val="CommentReference"/>
        </w:rPr>
        <w:commentReference w:id="0"/>
      </w:r>
      <w:r w:rsidRPr="00D43831">
        <w:rPr>
          <w:color w:val="auto"/>
        </w:rPr>
        <w:t xml:space="preserve">. It is characterized by underexpression of the neuroblastoma predisposition genes </w:t>
      </w:r>
      <w:r w:rsidRPr="00D43831">
        <w:rPr>
          <w:i/>
          <w:iCs/>
          <w:color w:val="auto"/>
        </w:rPr>
        <w:t>PHOX2B</w:t>
      </w:r>
      <w:r w:rsidRPr="00D43831">
        <w:rPr>
          <w:color w:val="auto"/>
        </w:rPr>
        <w:t xml:space="preserve"> (median LogFC= -2.58, FDR ≤ 2.93e-13), </w:t>
      </w:r>
      <w:r w:rsidRPr="00D43831">
        <w:rPr>
          <w:i/>
          <w:iCs/>
          <w:color w:val="auto"/>
        </w:rPr>
        <w:t>MYCN</w:t>
      </w:r>
      <w:r w:rsidRPr="00D43831">
        <w:rPr>
          <w:color w:val="auto"/>
        </w:rPr>
        <w:t xml:space="preserve"> (median LogFC= -3.30, FDR ≤ 3.11e-09), as well as the cell-cycle genes </w:t>
      </w:r>
      <w:r w:rsidRPr="00D43831">
        <w:rPr>
          <w:i/>
          <w:iCs/>
          <w:color w:val="auto"/>
        </w:rPr>
        <w:t>BIRC5</w:t>
      </w:r>
      <w:r w:rsidRPr="00D43831">
        <w:rPr>
          <w:color w:val="auto"/>
        </w:rPr>
        <w:t xml:space="preserve"> (median LogFC= -5.92, FDR ≤ 2.90e-16) and CCND1 (median LogFC= -2.13, FDR ≤ 4.84e-12), compared to its sibling clusters. </w:t>
      </w:r>
      <w:r w:rsidRPr="00D43831">
        <w:rPr>
          <w:b/>
          <w:bCs/>
          <w:color w:val="auto"/>
        </w:rPr>
        <w:t>T062 NEBLA MES ERBB2</w:t>
      </w:r>
      <w:r w:rsidRPr="00D43831">
        <w:rPr>
          <w:color w:val="auto"/>
        </w:rPr>
        <w:t xml:space="preserve"> is also characterized by overexpression of </w:t>
      </w:r>
      <w:r w:rsidRPr="00D43831">
        <w:rPr>
          <w:i/>
          <w:iCs/>
          <w:color w:val="auto"/>
        </w:rPr>
        <w:t>ERBB2</w:t>
      </w:r>
      <w:r w:rsidRPr="00D43831">
        <w:rPr>
          <w:color w:val="auto"/>
        </w:rPr>
        <w:t xml:space="preserve"> (</w:t>
      </w:r>
      <w:r w:rsidRPr="00D43831">
        <w:rPr>
          <w:i/>
          <w:iCs/>
          <w:color w:val="auto"/>
        </w:rPr>
        <w:t>HER2</w:t>
      </w:r>
      <w:r w:rsidRPr="00D43831">
        <w:rPr>
          <w:color w:val="auto"/>
        </w:rPr>
        <w:t>) (median LogFC= 1.32, FDR &lt; 8.16e-08), which has been demonstrated to be a favourable prognostic factor</w:t>
      </w:r>
      <w:r w:rsidR="00AE5A14" w:rsidRPr="00D43831">
        <w:rPr>
          <w:color w:val="auto"/>
        </w:rPr>
        <w:fldChar w:fldCharType="begin"/>
      </w:r>
      <w:r w:rsidR="00AE5A14" w:rsidRPr="00D43831">
        <w:rPr>
          <w:color w:val="auto"/>
        </w:rPr>
        <w:instrText>ADDIN F1000_CSL_CITATION&lt;~#@#~&gt;[{"DOI":"10.1038/modpathol.2010.115","First":false,"Last":false,"PMID":"20581805","abstract":"HER2 is essential for normal embryonic development and has a critical function in oncogenesis and progression of some types of cancer. Neuroblastic tumors create a heterogenous group of pediatric embryonal tumors of sympathoadrenal lineage. The biological and prognostic function of HER2 in these tumors is not well established. In this study, we evaluated the status of HER2, its prognostic significance, and clinicopathological correlations in series of 79 untreated neuroblastoma. The immunohistochemical assessment of HER2 and Ki-67 (proliferation index) as well as HER2 copy number status were performed on tissue microarrays. HER2 expression characterized 63 tumors, including 34 with low and 29 with high level, showing either membranous or mixed membranous-cytoplasmic pattern. Sixteen cases were HER2 immunonegative. The pattern of immunolabeling depended on the maturity of neuroblastic cells, being the most intense in differentiating neuroblasts. None of the tumors revealed HER2 amplification. In the examined group, 20% of patients died of disease from 4 to 107 months (median 18) from the diagnosis, and the survivors were followed up for 14-149 months (median 59). Patients' age, stage of disease, tumor location, mitosis/karyorrhexis index (MKI), and presence of HER2 expression were statistically significantly related to survival probability as detected by the Cox proportional hazard model. In the univariate analysis, Kaplan-Meier curves revealed significantly poorer outcome of HER2 negative than HER2-positive tumors (either low or high expression). The immunonegativity was associated with adverse clinicopathological parameters, including poor survival, metastatic stage of disease, un- or poorly differentiated histology, high MKI, and higher proliferation index. In conclusion, HER2 expression, not accompanied by gene amplification, is common in neuroblastic tumors. HER2 positivity seems to have a positive prognostic significance. HER2 expression with a variable pattern is a marker of the stage of neuroblastic cells differentiation.","author":[{"family":"Izycka-Swieszewska","given":"Ewa"},{"family":"Wozniak","given":"Agnieszka"},{"family":"Kot","given":"Jacek"},{"family":"Grajkowska","given":"Wieslawa"},{"family":"Balcerska","given":"Anna"},{"family":"Perek","given":"Danuta"},{"family":"Dembowska-Baginska","given":"Bozena"},{"family":"Klepacka","given":"Teresa"},{"family":"Drozynska","given":"Elzbieta"}],"authorYearDisplayFormat":false,"citation-label":"9510277","container-title":"Modern Pathology","container-title-short":"Mod. Pathol.","id":"9510277","invisible":false,"issue":"9","issued":{"date-parts":[["2010","9"]]},"journalAbbreviation":"Mod. Pathol.","page":"1261-1268","suppress-author":false,"title":"Prognostic significance of HER2 expression in neuroblastic tumors.","type":"article-journal","volume":"23"}]</w:instrText>
      </w:r>
      <w:r w:rsidR="00AE5A14" w:rsidRPr="00D43831">
        <w:rPr>
          <w:color w:val="auto"/>
        </w:rPr>
        <w:fldChar w:fldCharType="separate"/>
      </w:r>
      <w:r w:rsidRPr="00D43831">
        <w:rPr>
          <w:noProof/>
          <w:color w:val="auto"/>
          <w:vertAlign w:val="superscript"/>
        </w:rPr>
        <w:t>2</w:t>
      </w:r>
      <w:r w:rsidR="00AE5A14" w:rsidRPr="00D43831">
        <w:rPr>
          <w:color w:val="auto"/>
        </w:rPr>
        <w:fldChar w:fldCharType="end"/>
      </w:r>
      <w:r w:rsidRPr="00D43831">
        <w:rPr>
          <w:color w:val="auto"/>
        </w:rPr>
        <w:t xml:space="preserve">. Enrichment of </w:t>
      </w:r>
      <w:r w:rsidRPr="00D43831">
        <w:rPr>
          <w:i/>
          <w:iCs/>
          <w:color w:val="auto"/>
        </w:rPr>
        <w:t>ERBB2</w:t>
      </w:r>
      <w:r w:rsidRPr="00D43831">
        <w:rPr>
          <w:color w:val="auto"/>
        </w:rPr>
        <w:t xml:space="preserve"> signalling is also seen in this cluster (</w:t>
      </w:r>
      <w:r w:rsidRPr="00D43831">
        <w:rPr>
          <w:color w:val="auto"/>
          <w:lang w:val="en-CA"/>
        </w:rPr>
        <w:t>medNES ≥ 1.31, KW adj. p-val = 1.25e-13, Dunn adj. p-val &gt; 1.00e-02)</w:t>
      </w:r>
      <w:r w:rsidR="00AE5A14" w:rsidRPr="00D43831">
        <w:rPr>
          <w:color w:val="auto"/>
          <w:lang w:val="en-CA"/>
        </w:rPr>
        <w:fldChar w:fldCharType="begin"/>
      </w:r>
      <w:r w:rsidR="00AE5A14" w:rsidRPr="00D43831">
        <w:rPr>
          <w:color w:val="auto"/>
          <w:lang w:val="en-CA"/>
        </w:rPr>
        <w:instrText>ADDIN F1000_CSL_CITATION&lt;~#@#~&gt;[{"DOI":"10.1038/75556","First":false,"Last":false,"PMCID":"PMC3037419","PMID":"10802651","abstract":"Genomic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component.","author":[{"family":"Ashburner","given":"M"},{"family":"Ball","given":"C A"},{"family":"Blake","given":"J A"},{"family":"Botstein","given":"D"},{"family":"Butler","given":"H"},{"family":"Cherry","given":"J M"},{"family":"Davis","given":"A P"},{"family":"Dolinski","given":"K"},{"family":"Dwight","given":"S S"},{"family":"Eppig","given":"J T"},{"family":"Harris","given":"M A"},{"family":"Hill","given":"D P"},{"family":"Issel-Tarver","given":"L"},{"family":"Kasarskis","given":"A"},{"family":"Lewis","given":"S"},{"family":"Matese","given":"J C"},{"family":"Richardson","given":"J E"},{"family":"Ringwald","given":"M"},{"family":"Rubin","given":"G M"},{"family":"Sherlock","given":"G"}],"authorYearDisplayFormat":false,"citation-label":"48995","container-title":"Nature Genetics","container-title-short":"Nat. Genet.","id":"48995","invisible":false,"issue":"1","issued":{"date-parts":[["2000","5"]]},"journalAbbreviation":"Nat. Genet.","page":"25-29","suppress-author":false,"title":"Gene Ontology: tool for the unification of biology","type":"article-journal","volume":"25"},{"DOI":"10.1093/nar/gky1055","First":false,"Last":false,"PMCID":"PMC6323945","PMID":"30395331","abstract":"The Gene Ontology resource (GO; http://geneontology.org) provides structured, computable knowledge regarding the functions of genes and gene products. Founded in 1998, GO has become widely adopted in the life sciences, and its contents are under continual improvement, both in quantity and in quality. Here, we report the major developments of the GO resource during the past two years. Each monthly release of the GO resource is now packaged and given a unique identifier (DOI), enabling GO-based analyses on a specific release to be reproduced in the future. The molecular function ontology has been refactored to better represent the overall activities of gene products, with a focus on transcription regulator activities. Quality assurance efforts have been ramped up to address potentially out-of-date or inaccurate annotations. New evidence codes for high-throughput experiments now enable users to filter out annotations obtained from these sources. GO-CAM, a new framework for representing gene function that is more expressive than standard GO annotations, has been released, and users can now explore the growing repository of these models. We also provide the 'GO ribbon' widget for visualizing GO annotations to a gene; the widget can be easily embedded in any web page.","author":[{"family":"The Gene Ontology Consortium"}],"authorYearDisplayFormat":false,"citation-label":"6481881","container-title":"Nucleic Acids Research","container-title-short":"Nucleic Acids Res.","id":"6481881","invisible":false,"issue":"D1","issued":{"date-parts":[["2019","1","8"]]},"journalAbbreviation":"Nucleic Acids Res.","page":"D330-D338","suppress-author":false,"title":"The Gene Ontology Resource: 20 years and still GOing strong.","type":"article-journal","volume":"47"}]</w:instrText>
      </w:r>
      <w:r w:rsidR="00AE5A14" w:rsidRPr="00D43831">
        <w:rPr>
          <w:color w:val="auto"/>
          <w:lang w:val="en-CA"/>
        </w:rPr>
        <w:fldChar w:fldCharType="separate"/>
      </w:r>
      <w:r w:rsidRPr="00D43831">
        <w:rPr>
          <w:color w:val="auto"/>
          <w:vertAlign w:val="superscript"/>
          <w:lang w:val="en-CA"/>
        </w:rPr>
        <w:t>3,4</w:t>
      </w:r>
      <w:r w:rsidR="00AE5A14" w:rsidRPr="00D43831">
        <w:rPr>
          <w:color w:val="auto"/>
          <w:lang w:val="en-CA"/>
        </w:rPr>
        <w:fldChar w:fldCharType="end"/>
      </w:r>
      <w:r w:rsidRPr="00D43831">
        <w:rPr>
          <w:color w:val="auto"/>
          <w:lang w:val="en-CA"/>
        </w:rPr>
        <w:t xml:space="preserve">. </w:t>
      </w:r>
      <w:r w:rsidRPr="00D43831">
        <w:rPr>
          <w:color w:val="auto"/>
        </w:rPr>
        <w:t xml:space="preserve">Neuroblastomas expressing </w:t>
      </w:r>
      <w:r w:rsidRPr="00D43831">
        <w:rPr>
          <w:i/>
          <w:iCs/>
          <w:color w:val="auto"/>
        </w:rPr>
        <w:t>ERBB2</w:t>
      </w:r>
      <w:r w:rsidRPr="00D43831">
        <w:rPr>
          <w:color w:val="auto"/>
        </w:rPr>
        <w:t xml:space="preserve"> have increased differentiation, immunoreactivity, and patients show improved overall survival compared to patients with </w:t>
      </w:r>
      <w:r w:rsidR="00F05352">
        <w:rPr>
          <w:color w:val="auto"/>
        </w:rPr>
        <w:t>tumor</w:t>
      </w:r>
      <w:r w:rsidRPr="00D43831">
        <w:rPr>
          <w:color w:val="auto"/>
        </w:rPr>
        <w:t xml:space="preserve">s with either low or no </w:t>
      </w:r>
      <w:r w:rsidRPr="00D43831">
        <w:rPr>
          <w:i/>
          <w:iCs/>
          <w:color w:val="auto"/>
        </w:rPr>
        <w:t>ERBB2</w:t>
      </w:r>
      <w:r w:rsidRPr="00D43831">
        <w:rPr>
          <w:color w:val="auto"/>
        </w:rPr>
        <w:t xml:space="preserve"> expression</w:t>
      </w:r>
      <w:r w:rsidR="00AE5A14" w:rsidRPr="00D43831">
        <w:rPr>
          <w:color w:val="auto"/>
        </w:rPr>
        <w:fldChar w:fldCharType="begin"/>
      </w:r>
      <w:r w:rsidR="00AE5A14" w:rsidRPr="00D43831">
        <w:rPr>
          <w:color w:val="auto"/>
        </w:rPr>
        <w:instrText>ADDIN F1000_CSL_CITATION&lt;~#@#~&gt;[{"DOI":"10.1038/modpathol.2010.115","First":false,"Last":false,"PMID":"20581805","abstract":"HER2 is essential for normal embryonic development and has a critical function in oncogenesis and progression of some types of cancer. Neuroblastic tumors create a heterogenous group of pediatric embryonal tumors of sympathoadrenal lineage. The biological and prognostic function of HER2 in these tumors is not well established. In this study, we evaluated the status of HER2, its prognostic significance, and clinicopathological correlations in series of 79 untreated neuroblastoma. The immunohistochemical assessment of HER2 and Ki-67 (proliferation index) as well as HER2 copy number status were performed on tissue microarrays. HER2 expression characterized 63 tumors, including 34 with low and 29 with high level, showing either membranous or mixed membranous-cytoplasmic pattern. Sixteen cases were HER2 immunonegative. The pattern of immunolabeling depended on the maturity of neuroblastic cells, being the most intense in differentiating neuroblasts. None of the tumors revealed HER2 amplification. In the examined group, 20% of patients died of disease from 4 to 107 months (median 18) from the diagnosis, and the survivors were followed up for 14-149 months (median 59). Patients' age, stage of disease, tumor location, mitosis/karyorrhexis index (MKI), and presence of HER2 expression were statistically significantly related to survival probability as detected by the Cox proportional hazard model. In the univariate analysis, Kaplan-Meier curves revealed significantly poorer outcome of HER2 negative than HER2-positive tumors (either low or high expression). The immunonegativity was associated with adverse clinicopathological parameters, including poor survival, metastatic stage of disease, un- or poorly differentiated histology, high MKI, and higher proliferation index. In conclusion, HER2 expression, not accompanied by gene amplification, is common in neuroblastic tumors. HER2 positivity seems to have a positive prognostic significance. HER2 expression with a variable pattern is a marker of the stage of neuroblastic cells differentiation.","author":[{"family":"Izycka-Swieszewska","given":"Ewa"},{"family":"Wozniak","given":"Agnieszka"},{"family":"Kot","given":"Jacek"},{"family":"Grajkowska","given":"Wieslawa"},{"family":"Balcerska","given":"Anna"},{"family":"Perek","given":"Danuta"},{"family":"Dembowska-Baginska","given":"Bozena"},{"family":"Klepacka","given":"Teresa"},{"family":"Drozynska","given":"Elzbieta"}],"authorYearDisplayFormat":false,"citation-label":"9510277","container-title":"Modern Pathology","container-title-short":"Mod. Pathol.","id":"9510277","invisible":false,"issue":"9","issued":{"date-parts":[["2010","9"]]},"journalAbbreviation":"Mod. Pathol.","page":"1261-1268","suppress-author":false,"title":"Prognostic significance of HER2 expression in neuroblastic tumors.","type":"article-journal","volume":"23"}]</w:instrText>
      </w:r>
      <w:r w:rsidR="00AE5A14" w:rsidRPr="00D43831">
        <w:rPr>
          <w:color w:val="auto"/>
        </w:rPr>
        <w:fldChar w:fldCharType="separate"/>
      </w:r>
      <w:r w:rsidRPr="00D43831">
        <w:rPr>
          <w:color w:val="auto"/>
          <w:vertAlign w:val="superscript"/>
        </w:rPr>
        <w:t>2</w:t>
      </w:r>
      <w:r w:rsidR="00AE5A14" w:rsidRPr="00D43831">
        <w:rPr>
          <w:color w:val="auto"/>
        </w:rPr>
        <w:fldChar w:fldCharType="end"/>
      </w:r>
      <w:r w:rsidRPr="00D43831">
        <w:rPr>
          <w:color w:val="auto"/>
        </w:rPr>
        <w:t>. Indeed, we observe statistically significantly higher immune infiltration and lower stemness in this cluster (.38 median score, KW adj. p-val=1.39e-10 and .75 median score and KW adj. p-val = 1.75e-12 respectively, see Methods for details on these scores), with respect to all the other classes (</w:t>
      </w:r>
      <w:r w:rsidR="00D43831" w:rsidRPr="00D43831">
        <w:rPr>
          <w:color w:val="auto"/>
        </w:rPr>
        <w:t>Fig.</w:t>
      </w:r>
      <w:r w:rsidRPr="00D43831">
        <w:rPr>
          <w:color w:val="auto"/>
        </w:rPr>
        <w:t xml:space="preserve"> 5c</w:t>
      </w:r>
      <w:r w:rsidR="00D43831" w:rsidRPr="00D43831">
        <w:rPr>
          <w:color w:val="auto"/>
        </w:rPr>
        <w:t>,</w:t>
      </w:r>
      <w:r w:rsidRPr="00D43831">
        <w:rPr>
          <w:color w:val="auto"/>
        </w:rPr>
        <w:t xml:space="preserve"> 5f). Furthermore, </w:t>
      </w:r>
      <w:r w:rsidRPr="00D43831">
        <w:rPr>
          <w:b/>
          <w:bCs/>
          <w:color w:val="auto"/>
        </w:rPr>
        <w:t>T062</w:t>
      </w:r>
      <w:r w:rsidRPr="00D43831">
        <w:rPr>
          <w:color w:val="auto"/>
        </w:rPr>
        <w:t xml:space="preserve"> contains the majority of nodular ganglioneuroblastomas (7/12, </w:t>
      </w:r>
      <w:r w:rsidRPr="00D43831">
        <w:rPr>
          <w:i/>
          <w:iCs/>
          <w:color w:val="auto"/>
          <w:lang w:val="el-GR" w:bidi="he-IL"/>
        </w:rPr>
        <w:t>χ</w:t>
      </w:r>
      <w:r w:rsidRPr="00D43831">
        <w:rPr>
          <w:color w:val="auto"/>
          <w:vertAlign w:val="superscript"/>
          <w:lang w:bidi="he-IL"/>
        </w:rPr>
        <w:t>2</w:t>
      </w:r>
      <w:r w:rsidRPr="00D43831">
        <w:rPr>
          <w:color w:val="auto"/>
        </w:rPr>
        <w:t xml:space="preserve"> p-val = 3.849e-05) (</w:t>
      </w:r>
      <w:r w:rsidR="00D43831" w:rsidRPr="00D43831">
        <w:rPr>
          <w:color w:val="auto"/>
        </w:rPr>
        <w:t>Fig. S</w:t>
      </w:r>
      <w:r w:rsidRPr="00D43831">
        <w:rPr>
          <w:color w:val="auto"/>
        </w:rPr>
        <w:t xml:space="preserve">22b) and shows significant overexpression of ganglioneuroblastoma marker </w:t>
      </w:r>
      <w:r w:rsidRPr="00D43831">
        <w:rPr>
          <w:i/>
          <w:iCs/>
          <w:color w:val="auto"/>
        </w:rPr>
        <w:t>ERRB3</w:t>
      </w:r>
      <w:r w:rsidRPr="00D43831">
        <w:rPr>
          <w:color w:val="auto"/>
        </w:rPr>
        <w:t xml:space="preserve"> (median LogFC= 5.7, FDR ≤ 3.484e-15), as well as enrichment for ERBB network gen</w:t>
      </w:r>
      <w:r w:rsidR="000154C0">
        <w:rPr>
          <w:color w:val="auto"/>
        </w:rPr>
        <w:t xml:space="preserve">e </w:t>
      </w:r>
      <w:r w:rsidRPr="00D43831">
        <w:rPr>
          <w:color w:val="auto"/>
        </w:rPr>
        <w:t xml:space="preserve">sets (medNES ≥ </w:t>
      </w:r>
      <w:r w:rsidRPr="00D43831">
        <w:rPr>
          <w:color w:val="auto"/>
          <w:lang w:val="en-CA"/>
        </w:rPr>
        <w:t>1.27, KW p-val = 1.95e-09, Dunn adj. p-val &lt; 1.00e-04)</w:t>
      </w:r>
      <w:r w:rsidR="00AE5A14" w:rsidRPr="00D43831">
        <w:rPr>
          <w:color w:val="auto"/>
          <w:lang w:val="en-CA"/>
        </w:rPr>
        <w:fldChar w:fldCharType="begin"/>
      </w:r>
      <w:r w:rsidR="00AE5A14" w:rsidRPr="00D43831">
        <w:rPr>
          <w:color w:val="auto"/>
          <w:lang w:val="en-CA"/>
        </w:rPr>
        <w:instrText>ADDIN F1000_CSL_CITATION&lt;~#@#~&gt;[{"DOI":"10.1093/nar/gkn653","First":false,"Last":false,"PMCID":"PMC2686461","PMID":"18832364","abstract":"The Pathway Interaction Database (PID, http://pid.nci.nih.gov) is a freely available collection of curated and peer-reviewed pathways composed of human molecular signaling and regulatory events and key cellular processes. Created in a collaboration between the US National Cancer Institute and Nature Publishing Group, the database serves as a research tool for the cancer research community and others interested in cellular pathways, such as neuroscientists, developmental biologists and immunologists. PID offers a range of search features to facilitate pathway exploration. Users can browse the predefined set of pathways or create interaction network maps centered on a single molecule or cellular process of interest. In addition, the batch query tool allows users to upload long list(s) of molecules, such as those derived from microarray experiments, and either overlay these molecules onto predefined pathways or visualize the complete molecular connectivity map. Users can also download molecule lists, citation lists and complete database content in extensible markup language (XML) and Biological Pathways Exchange (BioPAX) Level 2 format. The database is updated with new pathway content every month and supplemented by specially commissioned articles on the practical uses of other relevant online tools.","author":[{"family":"Schaefer","given":"Carl F"},{"family":"Anthony","given":"Kira"},{"family":"Krupa","given":"Shiva"},{"family":"Buchoff","given":"Jeffrey"},{"family":"Day","given":"Matthew"},{"family":"Hannay","given":"Timo"},{"family":"Buetow","given":"Kenneth H"}],"authorYearDisplayFormat":false,"citation-label":"1234487","container-title":"Nucleic Acids Research","container-title-short":"Nucleic Acids Res.","id":"1234487","invisible":false,"issue":"Database issue","issued":{"date-parts":[["2009","1"]]},"journalAbbreviation":"Nucleic Acids Res.","page":"D674-9","suppress-author":false,"title":"PID: the pathway interaction database.","type":"article-journal","volume":"37"}]</w:instrText>
      </w:r>
      <w:r w:rsidR="00AE5A14" w:rsidRPr="00D43831">
        <w:rPr>
          <w:color w:val="auto"/>
          <w:lang w:val="en-CA"/>
        </w:rPr>
        <w:fldChar w:fldCharType="separate"/>
      </w:r>
      <w:r w:rsidRPr="00D43831">
        <w:rPr>
          <w:color w:val="auto"/>
          <w:vertAlign w:val="superscript"/>
          <w:lang w:val="en-CA"/>
        </w:rPr>
        <w:t>5</w:t>
      </w:r>
      <w:r w:rsidR="00AE5A14" w:rsidRPr="00D43831">
        <w:rPr>
          <w:color w:val="auto"/>
          <w:lang w:val="en-CA"/>
        </w:rPr>
        <w:fldChar w:fldCharType="end"/>
      </w:r>
      <w:r w:rsidRPr="00D43831">
        <w:rPr>
          <w:color w:val="auto"/>
          <w:lang w:val="en-CA"/>
        </w:rPr>
        <w:t xml:space="preserve">. It also exhibits enrichment of glial cell developmental pathways (medNES ≥ 1.31, KW p-val = 2.55e-12, Dunn adj. p-val &lt; 1.00e-03) and adrenal gland developmental gene sets (medNES ≥ 1.30, KW adj. p-val= 2.14e-12, Dunn adj. p-val &lt; 1.00e-02) </w:t>
      </w:r>
      <w:r w:rsidR="00AE5A14" w:rsidRPr="00D43831">
        <w:rPr>
          <w:color w:val="auto"/>
          <w:lang w:val="en-CA"/>
        </w:rPr>
        <w:fldChar w:fldCharType="begin"/>
      </w:r>
      <w:r w:rsidR="00AE5A14" w:rsidRPr="00D43831">
        <w:rPr>
          <w:color w:val="auto"/>
          <w:lang w:val="en-CA"/>
        </w:rPr>
        <w:instrText>ADDIN F1000_CSL_CITATION&lt;~#@#~&gt;[{"DOI":"10.1038/75556","First":false,"Last":false,"PMCID":"PMC3037419","PMID":"10802651","abstract":"Genomic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component.","author":[{"family":"Ashburner","given":"M"},{"family":"Ball","given":"C A"},{"family":"Blake","given":"J A"},{"family":"Botstein","given":"D"},{"family":"Butler","given":"H"},{"family":"Cherry","given":"J M"},{"family":"Davis","given":"A P"},{"family":"Dolinski","given":"K"},{"family":"Dwight","given":"S S"},{"family":"Eppig","given":"J T"},{"family":"Harris","given":"M A"},{"family":"Hill","given":"D P"},{"family":"Issel-Tarver","given":"L"},{"family":"Kasarskis","given":"A"},{"family":"Lewis","given":"S"},{"family":"Matese","given":"J C"},{"family":"Richardson","given":"J E"},{"family":"Ringwald","given":"M"},{"family":"Rubin","given":"G M"},{"family":"Sherlock","given":"G"}],"authorYearDisplayFormat":false,"citation-label":"48995","container-title":"Nature Genetics","container-title-short":"Nat. Genet.","id":"48995","invisible":false,"issue":"1","issued":{"date-parts":[["2000","5"]]},"journalAbbreviation":"Nat. Genet.","page":"25-29","suppress-author":false,"title":"Gene Ontology: tool for the unification of biology","type":"article-journal","volume":"25"},{"DOI":"10.1093/nar/gky1055","First":false,"Last":false,"PMCID":"PMC6323945","PMID":"30395331","abstract":"The Gene Ontology resource (GO; http://geneontology.org) provides structured, computable knowledge regarding the functions of genes and gene products. Founded in 1998, GO has become widely adopted in the life sciences, and its contents are under continual improvement, both in quantity and in quality. Here, we report the major developments of the GO resource during the past two years. Each monthly release of the GO resource is now packaged and given a unique identifier (DOI), enabling GO-based analyses on a specific release to be reproduced in the future. The molecular function ontology has been refactored to better represent the overall activities of gene products, with a focus on transcription regulator activities. Quality assurance efforts have been ramped up to address potentially out-of-date or inaccurate annotations. New evidence codes for high-throughput experiments now enable users to filter out annotations obtained from these sources. GO-CAM, a new framework for representing gene function that is more expressive than standard GO annotations, has been released, and users can now explore the growing repository of these models. We also provide the 'GO ribbon' widget for visualizing GO annotations to a gene; the widget can be easily embedded in any web page.","author":[{"family":"The Gene Ontology Consortium"}],"authorYearDisplayFormat":false,"citation-label":"6481881","container-title":"Nucleic Acids Research","container-title-short":"Nucleic Acids Res.","id":"6481881","invisible":false,"issue":"D1","issued":{"date-parts":[["2019","1","8"]]},"journalAbbreviation":"Nucleic Acids Res.","page":"D330-D338","suppress-author":false,"title":"The Gene Ontology Resource: 20 years and still GOing strong.","type":"article-journal","volume":"47"}]</w:instrText>
      </w:r>
      <w:r w:rsidR="00AE5A14" w:rsidRPr="00D43831">
        <w:rPr>
          <w:color w:val="auto"/>
          <w:lang w:val="en-CA"/>
        </w:rPr>
        <w:fldChar w:fldCharType="separate"/>
      </w:r>
      <w:r w:rsidRPr="00D43831">
        <w:rPr>
          <w:color w:val="auto"/>
          <w:vertAlign w:val="superscript"/>
          <w:lang w:val="en-CA"/>
        </w:rPr>
        <w:t>3,4</w:t>
      </w:r>
      <w:r w:rsidR="00AE5A14" w:rsidRPr="00D43831">
        <w:rPr>
          <w:color w:val="auto"/>
          <w:lang w:val="en-CA"/>
        </w:rPr>
        <w:fldChar w:fldCharType="end"/>
      </w:r>
      <w:r w:rsidRPr="00D43831">
        <w:rPr>
          <w:color w:val="auto"/>
          <w:lang w:val="en-CA"/>
        </w:rPr>
        <w:t xml:space="preserve">. </w:t>
      </w:r>
    </w:p>
    <w:p w14:paraId="1126FA3B" w14:textId="77777777" w:rsidR="005C73CB" w:rsidRPr="00D43831" w:rsidRDefault="005C73CB" w:rsidP="005C73CB">
      <w:pPr>
        <w:spacing w:line="240" w:lineRule="auto"/>
        <w:ind w:right="0" w:firstLine="0"/>
        <w:rPr>
          <w:color w:val="auto"/>
        </w:rPr>
      </w:pPr>
    </w:p>
    <w:p w14:paraId="00EED5E2" w14:textId="4F82AD6D" w:rsidR="00AE5A14" w:rsidRPr="00D43831" w:rsidRDefault="32EC528B" w:rsidP="32EC528B">
      <w:pPr>
        <w:spacing w:before="100" w:beforeAutospacing="1" w:after="100" w:afterAutospacing="1" w:line="240" w:lineRule="auto"/>
        <w:ind w:right="0" w:firstLine="0"/>
        <w:rPr>
          <w:color w:val="auto"/>
        </w:rPr>
      </w:pPr>
      <w:r w:rsidRPr="00D43831">
        <w:rPr>
          <w:b/>
          <w:bCs/>
          <w:color w:val="auto"/>
        </w:rPr>
        <w:t>T063 NEBLA ADR NTRK1</w:t>
      </w:r>
      <w:r w:rsidRPr="00D43831">
        <w:rPr>
          <w:color w:val="auto"/>
        </w:rPr>
        <w:t>, the most populous subgroup, corresponds to microarray cluster p1</w:t>
      </w:r>
      <w:r w:rsidRPr="00D43831">
        <w:rPr>
          <w:color w:val="auto"/>
          <w:vertAlign w:val="superscript"/>
        </w:rPr>
        <w:t>3</w:t>
      </w:r>
      <w:r w:rsidRPr="00D43831">
        <w:rPr>
          <w:color w:val="auto"/>
        </w:rPr>
        <w:t xml:space="preserve">, and is characterized by overexpression of </w:t>
      </w:r>
      <w:r w:rsidRPr="00D43831">
        <w:rPr>
          <w:i/>
          <w:iCs/>
          <w:color w:val="auto"/>
        </w:rPr>
        <w:t>NTRK1</w:t>
      </w:r>
      <w:r w:rsidRPr="00D43831">
        <w:rPr>
          <w:color w:val="auto"/>
        </w:rPr>
        <w:t xml:space="preserve"> with respect to its sibling clusters (median LogFC= 1.51, FDR &lt; 5.78e-4). Patients </w:t>
      </w:r>
      <w:r w:rsidR="00EA6586">
        <w:rPr>
          <w:color w:val="auto"/>
        </w:rPr>
        <w:t xml:space="preserve">with </w:t>
      </w:r>
      <w:r w:rsidR="00F05352">
        <w:rPr>
          <w:color w:val="auto"/>
        </w:rPr>
        <w:t>tumor</w:t>
      </w:r>
      <w:r w:rsidR="00EA6586">
        <w:rPr>
          <w:color w:val="auto"/>
        </w:rPr>
        <w:t xml:space="preserve">s </w:t>
      </w:r>
      <w:r w:rsidRPr="00D43831">
        <w:rPr>
          <w:color w:val="auto"/>
        </w:rPr>
        <w:t>within this class are significantly younger than</w:t>
      </w:r>
      <w:r w:rsidR="008E3927">
        <w:rPr>
          <w:color w:val="auto"/>
        </w:rPr>
        <w:t xml:space="preserve"> ones</w:t>
      </w:r>
      <w:r w:rsidRPr="00D43831">
        <w:rPr>
          <w:color w:val="auto"/>
        </w:rPr>
        <w:t xml:space="preserve"> in other NEBLA clusters (KW FDR = 1.25e-05). It contains all samples classified as low and intermediate COG risk by TARGET (</w:t>
      </w:r>
      <w:r w:rsidRPr="00D43831">
        <w:rPr>
          <w:i/>
          <w:iCs/>
          <w:color w:val="auto"/>
          <w:lang w:val="el-GR" w:bidi="he-IL"/>
        </w:rPr>
        <w:t>χ</w:t>
      </w:r>
      <w:r w:rsidRPr="00D43831">
        <w:rPr>
          <w:color w:val="auto"/>
          <w:vertAlign w:val="superscript"/>
          <w:lang w:bidi="he-IL"/>
        </w:rPr>
        <w:t>2</w:t>
      </w:r>
      <w:r w:rsidRPr="00D43831">
        <w:rPr>
          <w:color w:val="auto"/>
          <w:lang w:bidi="he-IL"/>
        </w:rPr>
        <w:t xml:space="preserve"> p-val = 1.04e-08), and contains all patients classified as stage 4s (</w:t>
      </w:r>
      <w:r w:rsidRPr="00D43831">
        <w:rPr>
          <w:i/>
          <w:iCs/>
          <w:color w:val="auto"/>
          <w:lang w:val="el-GR" w:bidi="he-IL"/>
        </w:rPr>
        <w:t>χ</w:t>
      </w:r>
      <w:r w:rsidRPr="00D43831">
        <w:rPr>
          <w:color w:val="auto"/>
          <w:vertAlign w:val="superscript"/>
          <w:lang w:bidi="he-IL"/>
        </w:rPr>
        <w:t>2</w:t>
      </w:r>
      <w:r w:rsidRPr="00D43831">
        <w:rPr>
          <w:color w:val="auto"/>
          <w:lang w:bidi="he-IL"/>
        </w:rPr>
        <w:t xml:space="preserve"> p-val = 2.76e-07) and stage 3 (</w:t>
      </w:r>
      <w:r w:rsidRPr="00D43831">
        <w:rPr>
          <w:i/>
          <w:iCs/>
          <w:color w:val="auto"/>
          <w:lang w:val="el-GR" w:bidi="he-IL"/>
        </w:rPr>
        <w:t>χ</w:t>
      </w:r>
      <w:r w:rsidRPr="00D43831">
        <w:rPr>
          <w:color w:val="auto"/>
          <w:vertAlign w:val="superscript"/>
          <w:lang w:bidi="he-IL"/>
        </w:rPr>
        <w:t>2</w:t>
      </w:r>
      <w:r w:rsidRPr="00D43831">
        <w:rPr>
          <w:color w:val="auto"/>
          <w:lang w:bidi="he-IL"/>
        </w:rPr>
        <w:t xml:space="preserve"> p-val = 3.58e-2) (</w:t>
      </w:r>
      <w:r w:rsidR="00D43831" w:rsidRPr="00D43831">
        <w:rPr>
          <w:color w:val="auto"/>
          <w:lang w:bidi="he-IL"/>
        </w:rPr>
        <w:t>Fig. S</w:t>
      </w:r>
      <w:r w:rsidRPr="00D43831">
        <w:rPr>
          <w:color w:val="auto"/>
          <w:lang w:bidi="he-IL"/>
        </w:rPr>
        <w:t xml:space="preserve">22b). It is significantly enriched in patients with </w:t>
      </w:r>
      <w:r w:rsidR="00F05352">
        <w:rPr>
          <w:color w:val="auto"/>
          <w:lang w:bidi="he-IL"/>
        </w:rPr>
        <w:t>tumor</w:t>
      </w:r>
      <w:r w:rsidRPr="00D43831">
        <w:rPr>
          <w:color w:val="auto"/>
          <w:lang w:bidi="he-IL"/>
        </w:rPr>
        <w:t>s with favourable histology (</w:t>
      </w:r>
      <w:r w:rsidRPr="00D43831">
        <w:rPr>
          <w:i/>
          <w:iCs/>
          <w:color w:val="auto"/>
          <w:lang w:val="el-GR" w:bidi="he-IL"/>
        </w:rPr>
        <w:t>χ</w:t>
      </w:r>
      <w:r w:rsidRPr="00D43831">
        <w:rPr>
          <w:color w:val="auto"/>
          <w:vertAlign w:val="superscript"/>
          <w:lang w:bidi="he-IL"/>
        </w:rPr>
        <w:t>2</w:t>
      </w:r>
      <w:r w:rsidRPr="00D43831">
        <w:rPr>
          <w:color w:val="auto"/>
          <w:lang w:bidi="he-IL"/>
        </w:rPr>
        <w:t xml:space="preserve"> p-val = 3.30e-08), and also contains the only intermixed ganglioneuroblastoma</w:t>
      </w:r>
      <w:r w:rsidR="0046021E">
        <w:rPr>
          <w:color w:val="auto"/>
          <w:lang w:bidi="he-IL"/>
        </w:rPr>
        <w:t xml:space="preserve"> </w:t>
      </w:r>
      <w:r w:rsidR="00F05352">
        <w:rPr>
          <w:color w:val="auto"/>
          <w:lang w:bidi="he-IL"/>
        </w:rPr>
        <w:t>tumor</w:t>
      </w:r>
      <w:r w:rsidR="0046021E">
        <w:rPr>
          <w:color w:val="auto"/>
          <w:lang w:bidi="he-IL"/>
        </w:rPr>
        <w:t xml:space="preserve"> referenced</w:t>
      </w:r>
      <w:r w:rsidRPr="00D43831">
        <w:rPr>
          <w:color w:val="auto"/>
          <w:lang w:bidi="he-IL"/>
        </w:rPr>
        <w:t xml:space="preserve"> in the TARGET cohort (</w:t>
      </w:r>
      <w:r w:rsidR="00D43831" w:rsidRPr="00D43831">
        <w:rPr>
          <w:color w:val="auto"/>
          <w:lang w:bidi="he-IL"/>
        </w:rPr>
        <w:t>Fig. S</w:t>
      </w:r>
      <w:r w:rsidRPr="00D43831">
        <w:rPr>
          <w:color w:val="auto"/>
          <w:lang w:bidi="he-IL"/>
        </w:rPr>
        <w:t xml:space="preserve">22b). </w:t>
      </w:r>
      <w:r w:rsidRPr="00D43831">
        <w:rPr>
          <w:b/>
          <w:bCs/>
          <w:color w:val="auto"/>
          <w:lang w:val="en-CA"/>
        </w:rPr>
        <w:t xml:space="preserve">T063 </w:t>
      </w:r>
      <w:r w:rsidRPr="00D43831">
        <w:rPr>
          <w:color w:val="auto"/>
          <w:lang w:val="en-CA"/>
        </w:rPr>
        <w:t>shows enrichment of gene sets related to sympathetic nervous system development (medNES = 1.08, KW adj. p-val = 1.97e-17, Dunn adj. p-val &lt; 1.00e-02) and chromaffin cells (medNES = 1.11, adj. p-val = 4.49e-17, Dunn adj. p-val &lt; 1.00e-04</w:t>
      </w:r>
      <w:r w:rsidRPr="00D43831">
        <w:rPr>
          <w:color w:val="auto"/>
        </w:rPr>
        <w:t>)</w:t>
      </w:r>
      <w:r w:rsidR="00AE5A14" w:rsidRPr="00D43831">
        <w:rPr>
          <w:color w:val="auto"/>
        </w:rPr>
        <w:fldChar w:fldCharType="begin"/>
      </w:r>
      <w:r w:rsidR="00AE5A14" w:rsidRPr="00D43831">
        <w:rPr>
          <w:color w:val="auto"/>
        </w:rPr>
        <w:instrText>ADDIN F1000_CSL_CITATION&lt;~#@#~&gt;[{"DOI":"10.1038/75556","First":false,"Last":false,"PMCID":"PMC3037419","PMID":"10802651","abstract":"Genomic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component.","author":[{"family":"Ashburner","given":"M"},{"family":"Ball","given":"C A"},{"family":"Blake","given":"J A"},{"family":"Botstein","given":"D"},{"family":"Butler","given":"H"},{"family":"Cherry","given":"J M"},{"family":"Davis","given":"A P"},{"family":"Dolinski","given":"K"},{"family":"Dwight","given":"S S"},{"family":"Eppig","given":"J T"},{"family":"Harris","given":"M A"},{"family":"Hill","given":"D P"},{"family":"Issel-Tarver","given":"L"},{"family":"Kasarskis","given":"A"},{"family":"Lewis","given":"S"},{"family":"Matese","given":"J C"},{"family":"Richardson","given":"J E"},{"family":"Ringwald","given":"M"},{"family":"Rubin","given":"G M"},{"family":"Sherlock","given":"G"}],"authorYearDisplayFormat":false,"citation-label":"48995","container-title":"Nature Genetics","container-title-short":"Nat. Genet.","id":"48995","invisible":false,"issue":"1","issued":{"date-parts":[["2000","5"]]},"journalAbbreviation":"Nat. Genet.","page":"25-29","suppress-author":false,"title":"Gene Ontology: tool for the unification of biology","type":"article-journal","volume":"25"},{"DOI":"10.1093/nar/gky1055","First":false,"Last":false,"PMCID":"PMC6323945","PMID":"30395331","abstract":"The Gene Ontology resource (GO; http://geneontology.org) provides structured, computable knowledge regarding the functions of genes and gene products. Founded in 1998, GO has become widely adopted in the life sciences, and its contents are under continual improvement, both in quantity and in quality. Here, we report the major developments of the GO resource during the past two years. Each monthly release of the GO resource is now packaged and given a unique identifier (DOI), enabling GO-based analyses on a specific release to be reproduced in the future. The molecular function ontology has been refactored to better represent the overall activities of gene products, with a focus on transcription regulator activities. Quality assurance efforts have been ramped up to address potentially out-of-date or inaccurate annotations. New evidence codes for high-throughput experiments now enable users to filter out annotations obtained from these sources. GO-CAM, a new framework for representing gene function that is more expressive than standard GO annotations, has been released, and users can now explore the growing repository of these models. We also provide the 'GO ribbon' widget for visualizing GO annotations to a gene; the widget can be easily embedded in any web page.","author":[{"family":"The Gene Ontology Consortium"}],"authorYearDisplayFormat":false,"citation-label":"6481881","container-title":"Nucleic Acids Research","container-title-short":"Nucleic Acids Res.","id":"6481881","invisible":false,"issue":"D1","issued":{"date-parts":[["2019","1","8"]]},"journalAbbreviation":"Nucleic Acids Res.","page":"D330-D338","suppress-author":false,"title":"The Gene Ontology Resource: 20 years and still GOing strong.","type":"article-journal","volume":"47"}]</w:instrText>
      </w:r>
      <w:r w:rsidR="00AE5A14" w:rsidRPr="00D43831">
        <w:rPr>
          <w:color w:val="auto"/>
        </w:rPr>
        <w:fldChar w:fldCharType="separate"/>
      </w:r>
      <w:r w:rsidRPr="00D43831">
        <w:rPr>
          <w:color w:val="auto"/>
          <w:vertAlign w:val="superscript"/>
        </w:rPr>
        <w:t>3,4</w:t>
      </w:r>
      <w:r w:rsidR="00AE5A14" w:rsidRPr="00D43831">
        <w:rPr>
          <w:color w:val="auto"/>
        </w:rPr>
        <w:fldChar w:fldCharType="end"/>
      </w:r>
      <w:r w:rsidRPr="00D43831">
        <w:rPr>
          <w:color w:val="auto"/>
        </w:rPr>
        <w:t>, suggesting this cluster may be defined by sympathoadrenal differentiation. It carries low immune infiltration (median score 0.29) (</w:t>
      </w:r>
      <w:r w:rsidR="00D43831" w:rsidRPr="00D43831">
        <w:rPr>
          <w:color w:val="auto"/>
        </w:rPr>
        <w:t>Fig.</w:t>
      </w:r>
      <w:r w:rsidRPr="00D43831">
        <w:rPr>
          <w:color w:val="auto"/>
        </w:rPr>
        <w:t xml:space="preserve"> 5c) and high stemness (median score 0.77) (</w:t>
      </w:r>
      <w:r w:rsidR="00D43831" w:rsidRPr="00D43831">
        <w:rPr>
          <w:color w:val="auto"/>
        </w:rPr>
        <w:t>Fig.</w:t>
      </w:r>
      <w:r w:rsidRPr="00D43831">
        <w:rPr>
          <w:color w:val="auto"/>
        </w:rPr>
        <w:t xml:space="preserve"> 5f). </w:t>
      </w:r>
    </w:p>
    <w:p w14:paraId="658FF845" w14:textId="5E7BF87F" w:rsidR="00AE5A14" w:rsidRPr="00D43831" w:rsidRDefault="32EC528B" w:rsidP="32EC528B">
      <w:pPr>
        <w:spacing w:before="100" w:beforeAutospacing="1" w:after="100" w:afterAutospacing="1" w:line="240" w:lineRule="auto"/>
        <w:ind w:right="0" w:firstLine="0"/>
        <w:rPr>
          <w:color w:val="auto"/>
        </w:rPr>
      </w:pPr>
      <w:r w:rsidRPr="00D43831">
        <w:rPr>
          <w:color w:val="auto"/>
        </w:rPr>
        <w:t xml:space="preserve">The two remaining clusters, </w:t>
      </w:r>
      <w:r w:rsidRPr="00D43831">
        <w:rPr>
          <w:b/>
          <w:bCs/>
          <w:color w:val="auto"/>
        </w:rPr>
        <w:t>T064 NEBLA MYCN</w:t>
      </w:r>
      <w:r w:rsidRPr="00D43831">
        <w:rPr>
          <w:color w:val="auto"/>
        </w:rPr>
        <w:t xml:space="preserve"> and </w:t>
      </w:r>
      <w:r w:rsidRPr="00D43831">
        <w:rPr>
          <w:b/>
          <w:bCs/>
          <w:color w:val="auto"/>
        </w:rPr>
        <w:t>T065 NEBLA ADR TERT</w:t>
      </w:r>
      <w:r w:rsidRPr="00D43831">
        <w:rPr>
          <w:color w:val="auto"/>
        </w:rPr>
        <w:t>, are exclusively comprised of samples marked as COG high-risk (</w:t>
      </w:r>
      <w:r w:rsidR="00D43831" w:rsidRPr="00D43831">
        <w:rPr>
          <w:color w:val="auto"/>
        </w:rPr>
        <w:t>Fig. S</w:t>
      </w:r>
      <w:r w:rsidRPr="00D43831">
        <w:rPr>
          <w:color w:val="auto"/>
        </w:rPr>
        <w:t>22b), and overlap with microarray clusters p3 and p2</w:t>
      </w:r>
      <w:r w:rsidR="4812AA33" w:rsidRPr="00D43831">
        <w:rPr>
          <w:color w:val="auto"/>
        </w:rPr>
        <w:fldChar w:fldCharType="begin"/>
      </w:r>
      <w:r w:rsidR="4812AA33" w:rsidRPr="00D43831">
        <w:rPr>
          <w:color w:val="auto"/>
        </w:rPr>
        <w:instrText>ADDIN F1000_CSL_CITATION&lt;~#@#~&gt;[{"DOI":"10.1186/1475-2867-11-9","First":false,"Last":false,"PMCID":"PMC3095533","PMID":"21492432","abstract":"&lt;strong&gt;BACKGROUND:&lt;/strong&gt; There are currently three postulated genomic subtypes of the childhood tumour neuroblastoma (NB); Type 1, Type 2A, and Type 2B. The most aggressive forms of NB are characterized by amplification of the oncogene MYCN (MNA) and low expression of the favourable marker NTRK1. Recently, mutations or high expression of the familial predisposition gene Anaplastic Lymphoma Kinase (ALK) was associated to unfavourable biology of sporadic NB. Also, various other genes have been linked to NB pathogenesis.&lt;br&gt;&lt;br&gt;&lt;strong&gt;RESULTS:&lt;/strong&gt; The present study explores subgroup discrimination by gene expression profiling using three published microarray studies on NB (47 samples). Four distinct clusters were identified by Principal Components Analysis (PCA) in two separate data sets, which could be verified by an unsupervised hierarchical clustering in a third independent data set (101 NB samples) using a set of 74 discriminative genes. The expression signature of six NB-associated genes ALK, BIRC5, CCND1, MYCN, NTRK1, and PHOX2B, significantly discriminated the four clusters (p &lt;  0.05, one-way ANOVA test). PCA clusters p1, p2, and p3 were found to correspond well to the postulated subtypes 1, 2A, and 2B, respectively. Remarkably, a fourth novel cluster was detected in all three independent data sets. This cluster comprised mainly 11q-deleted MNA-negative tumours with low expression of ALK, BIRC5, and PHOX2B, and was significantly associated with higher tumour stage, poor outcome and poor survival compared to the Type 1-corresponding favourable group (INSS stage 4 and/or dead of disease, p &lt;  0.05, Fisher's exact test).&lt;br&gt;&lt;br&gt;&lt;strong&gt;CONCLUSIONS:&lt;/strong&gt; Based on expression profiling we have identified four molecular subgroups of neuroblastoma, which can be distinguished by a 6-gene signature. The fourth subgroup has not been described elsewhere, and efforts are currently made to further investigate this group's specific characteristics.","author":[{"family":"Abel","given":"Frida"},{"family":"Dalevi","given":"Daniel"},{"family":"Nethander","given":"Maria"},{"family":"Jörnsten","given":"Rebecka"},{"family":"De Preter","given":"Katleen"},{"family":"Vermeulen","given":"Joëlle"},{"family":"Stallings","given":"Raymond"},{"family":"Kogner","given":"Per"},{"family":"Maris","given":"John"},{"family":"Nilsson","given":"Staffan"}],"authorYearDisplayFormat":false,"citation-label":"4610626","container-title":"Cancer cell international","container-title-short":"Cancer Cell Int.","id":"4610626","invisible":false,"issued":{"date-parts":[["2011","4","14"]]},"journalAbbreviation":"Cancer Cell Int.","page":"9","suppress-author":false,"title":"A 6-gene signature identifies four molecular subgroups of neuroblastoma.","type":"article-journal","volume":"11"}]</w:instrText>
      </w:r>
      <w:r w:rsidR="4812AA33" w:rsidRPr="00D43831">
        <w:rPr>
          <w:color w:val="auto"/>
        </w:rPr>
        <w:fldChar w:fldCharType="separate"/>
      </w:r>
      <w:r w:rsidRPr="00D43831">
        <w:rPr>
          <w:color w:val="auto"/>
          <w:vertAlign w:val="superscript"/>
        </w:rPr>
        <w:t>1</w:t>
      </w:r>
      <w:r w:rsidR="4812AA33" w:rsidRPr="00D43831">
        <w:rPr>
          <w:color w:val="auto"/>
        </w:rPr>
        <w:fldChar w:fldCharType="end"/>
      </w:r>
      <w:r w:rsidRPr="00D43831">
        <w:rPr>
          <w:color w:val="auto"/>
        </w:rPr>
        <w:t xml:space="preserve">, respectively. </w:t>
      </w:r>
      <w:r w:rsidRPr="00D43831">
        <w:rPr>
          <w:color w:val="auto"/>
        </w:rPr>
        <w:lastRenderedPageBreak/>
        <w:t xml:space="preserve">Both clusters exhibit overexpression of </w:t>
      </w:r>
      <w:r w:rsidRPr="00D43831">
        <w:rPr>
          <w:i/>
          <w:iCs/>
          <w:color w:val="auto"/>
        </w:rPr>
        <w:t>BIRC5</w:t>
      </w:r>
      <w:r w:rsidRPr="00D43831">
        <w:rPr>
          <w:color w:val="auto"/>
        </w:rPr>
        <w:t xml:space="preserve"> compared to </w:t>
      </w:r>
      <w:r w:rsidRPr="00D43831">
        <w:rPr>
          <w:b/>
          <w:bCs/>
          <w:color w:val="auto"/>
        </w:rPr>
        <w:t>T062 NEBLA ERBB2</w:t>
      </w:r>
      <w:r w:rsidRPr="00D43831">
        <w:rPr>
          <w:color w:val="auto"/>
        </w:rPr>
        <w:t xml:space="preserve"> and </w:t>
      </w:r>
      <w:r w:rsidRPr="00D43831">
        <w:rPr>
          <w:b/>
          <w:bCs/>
          <w:color w:val="auto"/>
        </w:rPr>
        <w:t xml:space="preserve">T063 </w:t>
      </w:r>
      <w:r w:rsidR="007F7D7D">
        <w:rPr>
          <w:b/>
          <w:bCs/>
          <w:color w:val="auto"/>
        </w:rPr>
        <w:t>NEBLA ADR NTRK1</w:t>
      </w:r>
      <w:r w:rsidRPr="00D43831">
        <w:rPr>
          <w:color w:val="auto"/>
        </w:rPr>
        <w:t xml:space="preserve"> (</w:t>
      </w:r>
      <w:r w:rsidRPr="00D43831">
        <w:rPr>
          <w:b/>
          <w:bCs/>
          <w:color w:val="auto"/>
        </w:rPr>
        <w:t xml:space="preserve">T064 </w:t>
      </w:r>
      <w:r w:rsidRPr="00D43831">
        <w:rPr>
          <w:color w:val="auto"/>
        </w:rPr>
        <w:t xml:space="preserve">logFC 1.74, FDR = 3.33e-05; </w:t>
      </w:r>
      <w:r w:rsidRPr="00D43831">
        <w:rPr>
          <w:b/>
          <w:bCs/>
          <w:color w:val="auto"/>
        </w:rPr>
        <w:t xml:space="preserve">T065 </w:t>
      </w:r>
      <w:r w:rsidRPr="00D43831">
        <w:rPr>
          <w:color w:val="auto"/>
        </w:rPr>
        <w:t xml:space="preserve">logFC = 2.05, FDR = 9.47e-07). </w:t>
      </w:r>
      <w:r w:rsidRPr="00D43831">
        <w:rPr>
          <w:b/>
          <w:bCs/>
          <w:color w:val="auto"/>
        </w:rPr>
        <w:t>T064 NEBLA MYCN</w:t>
      </w:r>
      <w:r w:rsidRPr="00D43831">
        <w:rPr>
          <w:color w:val="auto"/>
        </w:rPr>
        <w:t xml:space="preserve"> is characterized by a statically significant overexpression of </w:t>
      </w:r>
      <w:r w:rsidRPr="00D43831">
        <w:rPr>
          <w:i/>
          <w:iCs/>
          <w:color w:val="auto"/>
        </w:rPr>
        <w:t>MYCN</w:t>
      </w:r>
      <w:r w:rsidRPr="00D43831">
        <w:rPr>
          <w:color w:val="auto"/>
        </w:rPr>
        <w:t xml:space="preserve"> (median LogFC= 1.51, FDR ≤ 5.78e-04), and contains the majority of samples flagged as </w:t>
      </w:r>
      <w:r w:rsidRPr="00D43831">
        <w:rPr>
          <w:i/>
          <w:iCs/>
          <w:color w:val="auto"/>
        </w:rPr>
        <w:t>MYCN</w:t>
      </w:r>
      <w:r w:rsidRPr="00D43831">
        <w:rPr>
          <w:color w:val="auto"/>
        </w:rPr>
        <w:t xml:space="preserve"> amplified by TARGET (</w:t>
      </w:r>
      <w:r w:rsidRPr="00D43831">
        <w:rPr>
          <w:i/>
          <w:iCs/>
          <w:color w:val="auto"/>
          <w:lang w:val="el-GR" w:bidi="he-IL"/>
        </w:rPr>
        <w:t>χ</w:t>
      </w:r>
      <w:r w:rsidRPr="00D43831">
        <w:rPr>
          <w:color w:val="auto"/>
          <w:vertAlign w:val="superscript"/>
          <w:lang w:bidi="he-IL"/>
        </w:rPr>
        <w:t>2</w:t>
      </w:r>
      <w:r w:rsidRPr="00D43831">
        <w:rPr>
          <w:color w:val="auto"/>
        </w:rPr>
        <w:t xml:space="preserve"> p-val = 7.31e-15) (</w:t>
      </w:r>
      <w:r w:rsidR="00D43831" w:rsidRPr="00D43831">
        <w:rPr>
          <w:color w:val="auto"/>
        </w:rPr>
        <w:t>Fig.</w:t>
      </w:r>
      <w:r w:rsidRPr="00D43831">
        <w:rPr>
          <w:color w:val="auto"/>
        </w:rPr>
        <w:t xml:space="preserve"> 5a). It is also defined by the underexpression of </w:t>
      </w:r>
      <w:r w:rsidRPr="00D43831">
        <w:rPr>
          <w:i/>
          <w:iCs/>
          <w:color w:val="auto"/>
        </w:rPr>
        <w:t>NTRK1</w:t>
      </w:r>
      <w:r w:rsidRPr="00D43831">
        <w:rPr>
          <w:color w:val="auto"/>
        </w:rPr>
        <w:t xml:space="preserve"> (logFC = -3.25, FDR = 1.99e-09). Though the majority of </w:t>
      </w:r>
      <w:r w:rsidRPr="00D43831">
        <w:rPr>
          <w:b/>
          <w:bCs/>
          <w:color w:val="auto"/>
        </w:rPr>
        <w:t>T064 NEBLA MYCN</w:t>
      </w:r>
      <w:r w:rsidRPr="00D43831">
        <w:rPr>
          <w:color w:val="auto"/>
        </w:rPr>
        <w:t xml:space="preserve"> samples are marked by TARGET as </w:t>
      </w:r>
      <w:r w:rsidRPr="00D43831">
        <w:rPr>
          <w:i/>
          <w:iCs/>
          <w:color w:val="auto"/>
        </w:rPr>
        <w:t>MYCN</w:t>
      </w:r>
      <w:r w:rsidRPr="00D43831">
        <w:rPr>
          <w:color w:val="auto"/>
        </w:rPr>
        <w:t xml:space="preserve">-amplified, 37.5% of samples (n = 9/34) are annotated as non-amplified. However, gene set analysis with downstream </w:t>
      </w:r>
      <w:r w:rsidRPr="00D43831">
        <w:rPr>
          <w:i/>
          <w:iCs/>
          <w:color w:val="auto"/>
        </w:rPr>
        <w:t>MYCN</w:t>
      </w:r>
      <w:r w:rsidRPr="00D43831">
        <w:rPr>
          <w:color w:val="auto"/>
        </w:rPr>
        <w:t xml:space="preserve"> targets from literature</w:t>
      </w:r>
      <w:r w:rsidR="4812AA33" w:rsidRPr="00D43831">
        <w:rPr>
          <w:color w:val="auto"/>
        </w:rPr>
        <w:fldChar w:fldCharType="begin"/>
      </w:r>
      <w:r w:rsidR="4812AA33" w:rsidRPr="00D43831">
        <w:rPr>
          <w:color w:val="auto"/>
        </w:rPr>
        <w:instrText>ADDIN F1000_CSL_CITATION&lt;~#@#~&gt;[{"DOI":"10.1073/pnas.1208215109","First":false,"Last":false,"PMCID":"PMC3511149","PMID":"23091029","abstract":"Neuroblastoma is a pediatric tumor of the sympathetic nervous system. MYCN (V-myc myelocytomatosis viral-related oncogene, neuroblastoma derived [avian]) is amplified in 20% of neuroblastomas, and these tumors carry a poor prognosis. However, tumors without MYCN amplification also may have a poor outcome. Here, we identified downstream targets of MYCN by shRNA-mediated silencing MYCN in neuroblastoma cells. From these targets, 157 genes showed an expression profile correlating with MYCN mRNA levels in NB88, a series of 88 neuroblastoma tumors, and therefore represent in vivo relevant MYCN pathway genes. This 157-gene signature identified very poor prognosis tumors in NB88 and independent neuroblastoma cohorts and was more powerful than MYCN amplification or MYCN expression alone. Remarkably, this signature also identified poor outcome of a group of tumors without MYCN amplification. Most of these tumors have low MYCN mRNA levels but high nuclear MYCN protein levels, suggesting stabilization of MYCN at the protein level. One tumor has an MYC amplification and high MYC expression. Chip-on-chip analyses showed that most genes in this signature are directly regulated by MYCN. MYCN induces genes functioning in cell cycle and DNA repair while repressing neuronal differentiation genes. The functional MYCN-157 signature recognizes classical neuroblastoma with MYCN amplification, as well as a newly identified group marked by MYCN protein stabilization.","author":[{"family":"Valentijn","given":"Linda J"},{"family":"Koster","given":"Jan"},{"family":"Haneveld","given":"Franciska"},{"family":"Aissa","given":"Rachida Ait"},{"family":"van Sluis","given":"Peter"},{"family":"Broekmans","given":"Marloes E C"},{"family":"Molenaar","given":"Jan J"},{"family":"van Nes","given":"Johan"},{"family":"Versteeg","given":"Rogier"}],"authorYearDisplayFormat":false,"citation-label":"768936","container-title":"Proceedings of the National Academy of Sciences of the United States of America","container-title-short":"Proc Natl Acad Sci USA","id":"768936","invisible":false,"issue":"47","issued":{"date-parts":[["2012","11","20"]]},"journalAbbreviation":"Proc Natl Acad Sci USA","page":"19190-19195","suppress-author":false,"title":"Functional MYCN signature predicts outcome of neuroblastoma irrespective of MYCN amplification.","type":"article-journal","volume":"109"}]</w:instrText>
      </w:r>
      <w:r w:rsidR="4812AA33" w:rsidRPr="00D43831">
        <w:rPr>
          <w:color w:val="auto"/>
        </w:rPr>
        <w:fldChar w:fldCharType="separate"/>
      </w:r>
      <w:r w:rsidRPr="00D43831">
        <w:rPr>
          <w:color w:val="auto"/>
          <w:vertAlign w:val="superscript"/>
        </w:rPr>
        <w:t>6</w:t>
      </w:r>
      <w:r w:rsidR="4812AA33" w:rsidRPr="00D43831">
        <w:rPr>
          <w:color w:val="auto"/>
        </w:rPr>
        <w:fldChar w:fldCharType="end"/>
      </w:r>
      <w:r w:rsidRPr="00D43831">
        <w:rPr>
          <w:color w:val="auto"/>
        </w:rPr>
        <w:t xml:space="preserve"> shows continued enrichment of </w:t>
      </w:r>
      <w:r w:rsidRPr="00D43831">
        <w:rPr>
          <w:i/>
          <w:iCs/>
          <w:color w:val="auto"/>
        </w:rPr>
        <w:t>MYCN</w:t>
      </w:r>
      <w:r w:rsidRPr="00D43831">
        <w:rPr>
          <w:color w:val="auto"/>
        </w:rPr>
        <w:t xml:space="preserve"> targets in these samples despite the absence of </w:t>
      </w:r>
      <w:r w:rsidRPr="00D43831">
        <w:rPr>
          <w:i/>
          <w:iCs/>
          <w:color w:val="auto"/>
        </w:rPr>
        <w:t>MYCN</w:t>
      </w:r>
      <w:r w:rsidRPr="00D43831">
        <w:rPr>
          <w:color w:val="auto"/>
        </w:rPr>
        <w:t xml:space="preserve"> amplification (with all samples, medNES = 1.22, KW adj. p-val = 8.64e-17, Dunn adj. p-val &lt; 1.00e-04, with only </w:t>
      </w:r>
      <w:r w:rsidRPr="00D43831">
        <w:rPr>
          <w:i/>
          <w:iCs/>
          <w:color w:val="auto"/>
        </w:rPr>
        <w:t>MYCN</w:t>
      </w:r>
      <w:r w:rsidRPr="00D43831">
        <w:rPr>
          <w:color w:val="auto"/>
        </w:rPr>
        <w:t xml:space="preserve">-non amplified </w:t>
      </w:r>
      <w:r w:rsidR="00F05352">
        <w:rPr>
          <w:color w:val="auto"/>
        </w:rPr>
        <w:t>tumor</w:t>
      </w:r>
      <w:r w:rsidRPr="00D43831">
        <w:rPr>
          <w:color w:val="auto"/>
        </w:rPr>
        <w:t>s in T064, medNES = 1.07, KW adj. p-val = 7.62e-11) (</w:t>
      </w:r>
      <w:r w:rsidR="00D43831" w:rsidRPr="00D43831">
        <w:rPr>
          <w:color w:val="auto"/>
        </w:rPr>
        <w:t>Fig.</w:t>
      </w:r>
      <w:r w:rsidRPr="00D43831">
        <w:rPr>
          <w:color w:val="auto"/>
        </w:rPr>
        <w:t xml:space="preserve"> 5e</w:t>
      </w:r>
      <w:r w:rsidR="00D43831" w:rsidRPr="00D43831">
        <w:rPr>
          <w:color w:val="auto"/>
        </w:rPr>
        <w:t>,</w:t>
      </w:r>
      <w:r w:rsidRPr="00D43831">
        <w:rPr>
          <w:color w:val="auto"/>
        </w:rPr>
        <w:t xml:space="preserve"> 5h). In line with previous studies, which identified a correlation between </w:t>
      </w:r>
      <w:r w:rsidRPr="00D43831">
        <w:rPr>
          <w:i/>
          <w:iCs/>
          <w:color w:val="auto"/>
        </w:rPr>
        <w:t>MYCN</w:t>
      </w:r>
      <w:r w:rsidRPr="00D43831">
        <w:rPr>
          <w:color w:val="auto"/>
        </w:rPr>
        <w:t xml:space="preserve"> amplificated </w:t>
      </w:r>
      <w:r w:rsidR="00F05352">
        <w:rPr>
          <w:color w:val="auto"/>
        </w:rPr>
        <w:t>tumor</w:t>
      </w:r>
      <w:r w:rsidRPr="00D43831">
        <w:rPr>
          <w:color w:val="auto"/>
        </w:rPr>
        <w:t>s and mitosis-karryohexis index (MKI)</w:t>
      </w:r>
      <w:r w:rsidR="4812AA33" w:rsidRPr="00D43831">
        <w:rPr>
          <w:color w:val="auto"/>
        </w:rPr>
        <w:fldChar w:fldCharType="begin"/>
      </w:r>
      <w:r w:rsidR="4812AA33" w:rsidRPr="00D43831">
        <w:rPr>
          <w:color w:val="auto"/>
        </w:rPr>
        <w:instrText>ADDIN F1000_CSL_CITATION&lt;~#@#~&gt;[{"DOI":"10.2350/14-06-1505-OA.1","First":false,"Last":false,"PMCID":"PMC4340697","PMID":"25207821","abstract":"Prognostic effects of Mitosis-Karyorrhexis Index (MKI) used in the International Neuroblastoma Pathology Classification (INPC) are age-dependent. A total of 4,282 neuroblastomas reviewed at the Children's Oncology Group Neuroblastoma Pathology Reference Laboratory (8/1/2001-3/31/2012) included 2,365 low-MKI (L-MKI), 1,068 intermediate-MKI (I-MKI), and 849 high-MKI (H-MKI) tumors. Cox proportional hazards models were fit to determine age cut-offs at which the relative risk of event/death was maximized in each MKI class. Backward-selected Cox models were fit to determine the prognostic strength of the age cut-offs for survival in the presence of other prognostic factors. The age cut-offs used in the INPC for L-MKI tumors (&lt; 60 months, n  =  2,710, 84.0% ± 1.0% event-free survival [EFS], 93.8 ± 0.7% overall survival [OS] vs ≥60 months, n  =  195, 49.8% ± 4.6% EFS, 71.7% ± 4.1% OS; P &lt;  0.0001) and I-MKI tumors (&lt; 18 months, n  =  568, 83.8% ± 2% EFS, 93.7% ± 1.3% OS vs ≥18 months, n  =  500, 51.4% ± 2.9% EFS, 66.7% ± 2.7% OS; P &lt;  0.0001) were within the effective range for distinguishing prognostic groups. As for H-MKI tumors (no cut-off age in the INPC, 51.0% ± 2.2% EFS, 64.4% ± 2.1% OS), a new cut-off of 3-4 months was suggested (&lt; 4 months, n  =  38, 82.3% ± 8.4% EFS, 81.8% ± 8.5% OS vs ≥4 months, n  =  811, 49.6% ± 2.2% EFS, 63.7% ± 2.1% OS, P  =  0.0034 and 0.0437, respectively). Multivariate analyses revealed that cut-offs of 60 and 18 months for L-MKI and I-MKI tumors, respectively, were independently prognostic. However, the cut-off of 4 months for H-MKI tumors did not reach statistical significance in the presence of other factors. The age cut-offs for MKI classes (60 months for L-MKI, 18 months for I-MKI, no cut-off for H-MKI) in the current INPC are reasonable and effective for distinguishing prognostic groups with increased risk of event/death for older patients.","author":[{"family":"Teshiba","given":"Risa"},{"family":"Kawano","given":"Shinya"},{"family":"Wang","given":"Larry L"},{"family":"He","given":"Lejian"},{"family":"Naranjo","given":"Arlene"},{"family":"London","given":"Wendy B"},{"family":"Seeger","given":"Robert C"},{"family":"Gastier-Foster","given":"Julie M"},{"family":"Look","given":"A Thomas"},{"family":"Hogarty","given":"Michael D"},{"family":"Cohn","given":"Susan L"},{"family":"Maris","given":"John M"},{"family":"Park","given":"Julie R"},{"family":"Shimada","given":"Hiroyuki"}],"authorYearDisplayFormat":false,"citation-label":"5638564","container-title":"Pediatric and developmental pathology : the official journal of the Society for Pediatric Pathology and the Paediatric Pathology Society","container-title-short":"Pediatr. Dev. Pathol.","id":"5638564","invisible":false,"issue":"6","issued":{"date-parts":[["2014","12"]]},"journalAbbreviation":"Pediatr. Dev. Pathol.","page":"441-449","suppress-author":false,"title":"Age-dependent prognostic effect by Mitosis-Karyorrhexis Index in neuroblastoma: a report from the Children's Oncology Group.","type":"article-journal","volume":"17"}]</w:instrText>
      </w:r>
      <w:r w:rsidR="4812AA33" w:rsidRPr="00D43831">
        <w:rPr>
          <w:color w:val="auto"/>
        </w:rPr>
        <w:fldChar w:fldCharType="separate"/>
      </w:r>
      <w:r w:rsidRPr="00D43831">
        <w:rPr>
          <w:noProof/>
          <w:color w:val="auto"/>
          <w:vertAlign w:val="superscript"/>
        </w:rPr>
        <w:t>7</w:t>
      </w:r>
      <w:r w:rsidR="4812AA33" w:rsidRPr="00D43831">
        <w:rPr>
          <w:color w:val="auto"/>
        </w:rPr>
        <w:fldChar w:fldCharType="end"/>
      </w:r>
      <w:r w:rsidRPr="00D43831">
        <w:rPr>
          <w:color w:val="auto"/>
        </w:rPr>
        <w:t>, we observe significantly more samples carrying high MKI (13/33,</w:t>
      </w:r>
      <w:r w:rsidRPr="00D43831">
        <w:rPr>
          <w:color w:val="auto"/>
          <w:lang w:val="en-CA"/>
        </w:rPr>
        <w:t xml:space="preserve"> </w:t>
      </w:r>
      <w:r w:rsidRPr="00D43831">
        <w:rPr>
          <w:color w:val="auto"/>
          <w:lang w:val="el-GR"/>
        </w:rPr>
        <w:t>χ</w:t>
      </w:r>
      <w:r w:rsidRPr="00D43831">
        <w:rPr>
          <w:color w:val="auto"/>
          <w:vertAlign w:val="superscript"/>
        </w:rPr>
        <w:t>2</w:t>
      </w:r>
      <w:r w:rsidRPr="00D43831">
        <w:rPr>
          <w:color w:val="auto"/>
        </w:rPr>
        <w:t xml:space="preserve"> p-val = 1.03e-02) in </w:t>
      </w:r>
      <w:r w:rsidRPr="00D43831">
        <w:rPr>
          <w:b/>
          <w:bCs/>
          <w:color w:val="auto"/>
        </w:rPr>
        <w:t xml:space="preserve">T064 </w:t>
      </w:r>
      <w:r w:rsidRPr="00D43831">
        <w:rPr>
          <w:color w:val="auto"/>
        </w:rPr>
        <w:t xml:space="preserve">when compared to the other classes.  </w:t>
      </w:r>
    </w:p>
    <w:p w14:paraId="5F345F9C" w14:textId="711600E9" w:rsidR="00AE5A14" w:rsidRPr="00D43831" w:rsidRDefault="32EC528B" w:rsidP="32EC528B">
      <w:pPr>
        <w:spacing w:before="100" w:beforeAutospacing="1" w:after="100" w:afterAutospacing="1" w:line="240" w:lineRule="auto"/>
        <w:ind w:right="0" w:firstLine="0"/>
        <w:rPr>
          <w:rFonts w:eastAsia="Times New Roman" w:cstheme="minorBidi"/>
          <w:color w:val="auto"/>
          <w:lang w:bidi="he-IL"/>
        </w:rPr>
      </w:pPr>
      <w:r w:rsidRPr="00D43831">
        <w:rPr>
          <w:color w:val="auto"/>
        </w:rPr>
        <w:t xml:space="preserve">Both </w:t>
      </w:r>
      <w:r w:rsidRPr="00D43831">
        <w:rPr>
          <w:b/>
          <w:bCs/>
          <w:color w:val="auto"/>
        </w:rPr>
        <w:t>T064 NEBLA MYCN</w:t>
      </w:r>
      <w:r w:rsidRPr="00D43831">
        <w:rPr>
          <w:color w:val="auto"/>
        </w:rPr>
        <w:t xml:space="preserve"> and </w:t>
      </w:r>
      <w:r w:rsidRPr="00D43831">
        <w:rPr>
          <w:b/>
          <w:bCs/>
          <w:color w:val="auto"/>
        </w:rPr>
        <w:t>T065 NEBLA ADR TERT</w:t>
      </w:r>
      <w:r w:rsidRPr="00D43831">
        <w:rPr>
          <w:color w:val="auto"/>
        </w:rPr>
        <w:t xml:space="preserve"> are characterized by significant </w:t>
      </w:r>
      <w:r w:rsidRPr="00D43831">
        <w:rPr>
          <w:i/>
          <w:iCs/>
          <w:color w:val="auto"/>
        </w:rPr>
        <w:t>TERT</w:t>
      </w:r>
      <w:r w:rsidRPr="00D43831">
        <w:rPr>
          <w:color w:val="auto"/>
        </w:rPr>
        <w:t xml:space="preserve"> overexpression compared to </w:t>
      </w:r>
      <w:r w:rsidRPr="00D43831">
        <w:rPr>
          <w:b/>
          <w:bCs/>
          <w:color w:val="auto"/>
        </w:rPr>
        <w:t>T062 NEBLA ERBB2</w:t>
      </w:r>
      <w:r w:rsidRPr="00D43831">
        <w:rPr>
          <w:color w:val="auto"/>
        </w:rPr>
        <w:t xml:space="preserve"> and </w:t>
      </w:r>
      <w:r w:rsidRPr="00D43831">
        <w:rPr>
          <w:b/>
          <w:bCs/>
          <w:color w:val="auto"/>
        </w:rPr>
        <w:t xml:space="preserve">T063 </w:t>
      </w:r>
      <w:r w:rsidR="007F7D7D">
        <w:rPr>
          <w:b/>
          <w:bCs/>
          <w:color w:val="auto"/>
        </w:rPr>
        <w:t>NEBLA ADR NTRK1</w:t>
      </w:r>
      <w:r w:rsidRPr="00D43831">
        <w:rPr>
          <w:color w:val="auto"/>
        </w:rPr>
        <w:t xml:space="preserve">. Previous studies have explored the associations between telomere maintenance and prognosis in neuroblastoma, identifying three mutually exclusive pathways which are enriched in high risk </w:t>
      </w:r>
      <w:r w:rsidR="00F05352">
        <w:rPr>
          <w:color w:val="auto"/>
        </w:rPr>
        <w:t>tumor</w:t>
      </w:r>
      <w:r w:rsidRPr="00D43831">
        <w:rPr>
          <w:color w:val="auto"/>
        </w:rPr>
        <w:t xml:space="preserve">s: </w:t>
      </w:r>
      <w:r w:rsidRPr="00D43831">
        <w:rPr>
          <w:i/>
          <w:iCs/>
          <w:color w:val="auto"/>
        </w:rPr>
        <w:t>ATRX</w:t>
      </w:r>
      <w:r w:rsidRPr="00D43831">
        <w:rPr>
          <w:color w:val="auto"/>
        </w:rPr>
        <w:t xml:space="preserve"> upregulation, </w:t>
      </w:r>
      <w:r w:rsidRPr="00D43831">
        <w:rPr>
          <w:i/>
          <w:iCs/>
          <w:color w:val="auto"/>
        </w:rPr>
        <w:t>MYCN</w:t>
      </w:r>
      <w:r w:rsidRPr="00D43831">
        <w:rPr>
          <w:color w:val="auto"/>
        </w:rPr>
        <w:t xml:space="preserve"> amplification, and </w:t>
      </w:r>
      <w:r w:rsidRPr="00D43831">
        <w:rPr>
          <w:i/>
          <w:iCs/>
          <w:color w:val="auto"/>
        </w:rPr>
        <w:t>TERT</w:t>
      </w:r>
      <w:r w:rsidRPr="00D43831">
        <w:rPr>
          <w:color w:val="auto"/>
        </w:rPr>
        <w:t xml:space="preserve"> rearrangements, each of which result in the overexpression of </w:t>
      </w:r>
      <w:r w:rsidRPr="00D43831">
        <w:rPr>
          <w:i/>
          <w:iCs/>
          <w:color w:val="auto"/>
        </w:rPr>
        <w:t>TERT</w:t>
      </w:r>
      <w:r w:rsidR="00AE5A14" w:rsidRPr="00D43831">
        <w:rPr>
          <w:color w:val="auto"/>
        </w:rPr>
        <w:fldChar w:fldCharType="begin"/>
      </w:r>
      <w:r w:rsidR="00AE5A14" w:rsidRPr="00D43831">
        <w:rPr>
          <w:color w:val="auto"/>
        </w:rPr>
        <w:instrText>ADDIN F1000_CSL_CITATION&lt;~#@#~&gt;[{"DOI":"10.1038/ng.3438","First":false,"Last":false,"PMID":"26523776","abstract":"Whole-genome sequencing detected structural rearrangements of TERT in 17 of 75 high-stage neuroblastomas, with five cases resulting from chromothripsis. Rearrangements were associated with increased TERT expression and targeted regions immediately up- and downstream of TERT, positioning a super-enhancer close to the breakpoints in seven cases. TERT rearrangements (23%), ATRX deletions (11%) and MYCN amplifications (37%) identify three almost non-overlapping groups of high-stage neuroblastoma, each associated with very poor prognosis. ","author":[{"family":"Valentijn","given":"Linda J"},{"family":"Koster","given":"Jan"},{"family":"Zwijnenburg","given":"Danny A"},{"family":"Hasselt","given":"Nancy E"},{"family":"van Sluis","given":"Peter"},{"family":"Volckmann","given":"Richard"},{"family":"van Noesel","given":"Max M"},{"family":"George","given":"Rani E"},{"family":"Tytgat","given":"Godelieve A M"},{"family":"Molenaar","given":"Jan J"},{"family":"Versteeg","given":"Rogier"}],"authorYearDisplayFormat":false,"citation-label":"916296","container-title":"Nature Genetics","container-title-short":"Nat. Genet.","id":"916296","invisible":false,"issue":"12","issued":{"date-parts":[["2015","12"]]},"journalAbbreviation":"Nat. Genet.","page":"1411-1414","suppress-author":false,"title":"TERT rearrangements are frequent in neuroblastoma and identify aggressive tumors.","type":"article-journal","volume":"47"},{"DOI":"10.1097/MPH.0000000000000840","First":false,"Last":false,"PMID":"28452859","abstract":"Neuroblastomas (NB) are one of the most common extracranial solid tumors in children, and they frequently display high heterogeneity in the disease course. With ongoing research, more information regarding the genetic etiology and molecular mechanisms underlying these contrasting phenotypes is being uncovered. The proto-oncogene MYCN is amplified in approximately 20% of NB cases and is considered a indicator of poor prognosis and an indicator of high-risk NB. The poor prognosis of high risk NB is incompletely explained by MYCN amplification. Recently, massive parallel sequencing studies reported several relatively common gene alterations, such as ATRX mutation and TERT rearrangement that are involved in telomere maintenance through telomerase activity and alternative lengthening of telomeres. Thus, these are important for understanding the etiology and molecular pathogenesis of NB, and hence, for identifying diagnostic and treatment markers. Development of telomerase inhibitors and identification of alternative lengthening of telomeres related targets will contribute to the individualized treatment for high-risk NB. In this mini-review, we will discuss the research progress of TERT-mediated and ATRX-mediated telomere maintenance and NB, especially high-risk tumors.","author":[{"family":"Duan","given":"Xiao-Feng"},{"family":"Zhao","given":"Qiang"}],"authorYearDisplayFormat":false,"citation-label":"9078077","container-title":"Journal of Pediatric Hematology/Oncology","container-title-short":"J. Pediatr. Hematol. Oncol.","id":"9078077","invisible":false,"issue":"1","issued":{"date-parts":[["2018"]]},"journalAbbreviation":"J. Pediatr. Hematol. Oncol.","page":"1-6","suppress-author":false,"title":"TERT-mediated and ATRX-mediated Telomere Maintenance and Neuroblastoma.","type":"article-journal","volume":"40"}]</w:instrText>
      </w:r>
      <w:r w:rsidR="00AE5A14" w:rsidRPr="00D43831">
        <w:rPr>
          <w:color w:val="auto"/>
        </w:rPr>
        <w:fldChar w:fldCharType="separate"/>
      </w:r>
      <w:r w:rsidRPr="00D43831">
        <w:rPr>
          <w:color w:val="auto"/>
          <w:vertAlign w:val="superscript"/>
        </w:rPr>
        <w:t>8,9</w:t>
      </w:r>
      <w:r w:rsidR="00AE5A14" w:rsidRPr="00D43831">
        <w:rPr>
          <w:color w:val="auto"/>
        </w:rPr>
        <w:fldChar w:fldCharType="end"/>
      </w:r>
      <w:r w:rsidRPr="00D43831">
        <w:rPr>
          <w:color w:val="auto"/>
        </w:rPr>
        <w:t xml:space="preserve">. Indeed, both </w:t>
      </w:r>
      <w:r w:rsidRPr="00D43831">
        <w:rPr>
          <w:b/>
          <w:bCs/>
          <w:color w:val="auto"/>
        </w:rPr>
        <w:t xml:space="preserve">T064 </w:t>
      </w:r>
      <w:r w:rsidRPr="00D43831">
        <w:rPr>
          <w:color w:val="auto"/>
        </w:rPr>
        <w:t xml:space="preserve">and </w:t>
      </w:r>
      <w:r w:rsidRPr="00D43831">
        <w:rPr>
          <w:b/>
          <w:bCs/>
          <w:color w:val="auto"/>
        </w:rPr>
        <w:t xml:space="preserve">T065 </w:t>
      </w:r>
      <w:r w:rsidRPr="00D43831">
        <w:rPr>
          <w:color w:val="auto"/>
        </w:rPr>
        <w:t>have enrichment of alternative telomere lengthening pathways (KW adj. p-val &lt; 2.06e-14)</w:t>
      </w:r>
      <w:r w:rsidR="00AE5A14" w:rsidRPr="00D43831">
        <w:rPr>
          <w:color w:val="auto"/>
        </w:rPr>
        <w:fldChar w:fldCharType="begin"/>
      </w:r>
      <w:r w:rsidR="00AE5A14" w:rsidRPr="00D43831">
        <w:rPr>
          <w:color w:val="auto"/>
        </w:rPr>
        <w:instrText>ADDIN F1000_CSL_CITATION&lt;~#@#~&gt;[{"DOI":"10.1093/jb/mvq119","First":false,"Last":false,"PMID":"20937668","abstract":"Unlimitedly proliferating cells need to acquire the telomere DNA maintenance mechanism, to counteract possible shortening through multiple rounds of replication and segregation of linear chromosomes. Most human cancer cells express telomerase whereas the other cells utilize the alternative lengthening of telomeres (ALT) pathway to elongate telomere DNA. It is suggested that ALT depends on the recombination between telomere repetitive DNAs. However, the molecular details remain unknown. Recent studies have provided evidence of special structures of telomere DNA and genes essential for the phenotypes of ALT cells. The molecular models of the ALT pathway should be validated to elucidate recombination-mediated telomere maintenance and promote the applications to anti-cancer therapy.","author":[{"family":"Nabetani","given":"Akira"},{"family":"Ishikawa","given":"Fuyuki"}],"authorYearDisplayFormat":false,"citation-label":"603726","container-title":"Journal of Biochemistry","container-title-short":"J. Biochem.","id":"603726","invisible":false,"issue":"1","issued":{"date-parts":[["2011","1"]]},"journalAbbreviation":"J. Biochem.","page":"5-14","suppress-author":false,"title":"Alternative lengthening of telomeres pathway: recombination-mediated telomere maintenance mechanism in human cells.","type":"article-journal","volume":"149"},{"DOI":"10.1093/nar/gkz1031","First":false,"Last":false,"PMID":"31691815","abstract":"The Reactome Knowledgebase (https://reactome.org) provides molecular details of signal transduction, transport, DNA replication, metabolism and other cellular processes as an ordered network of molecular transformations in a single consistent data model, an extended version of a classic metabolic map. Reactome functions both as an archive of biological processes and as a tool for discovering functional relationships in data such as gene expression profiles or somatic mutation catalogs from tumor cells. To extend our ability to annotate human disease processes, we have implemented a new drug class and have used it initially to annotate drugs relevant to cardiovascular disease. Our annotation model depends on external domain experts to identify new areas for annotation and to review new content. New web pages facilitate recruitment of community experts and allow those who have contributed to Reactome to identify their contributions and link them to their ORCID records. To improve visualization of our content, we have implemented a new tool to automatically lay out the components of individual reactions with multiple options for downloading the reaction diagrams and associated data, and a new display of our event hierarchy that will facilitate visual interpretation of pathway analysis results.&lt;br&gt;&lt;br&gt;© The Author(s) 2019. Published by Oxford University Press on behalf of Nucleic Acids Research.","author":[{"family":"Jassal","given":"Bijay"},{"family":"Matthews","given":"Lisa"},{"family":"Viteri","given":"Guilherme"},{"family":"Gong","given":"Chuqiao"},{"family":"Lorente","given":"Pascual"},{"family":"Fabregat","given":"Antonio"},{"family":"Sidiropoulos","given":"Konstantinos"},{"family":"Cook","given":"Justin"},{"family":"Gillespie","given":"Marc"},{"family":"Haw","given":"Robin"},{"family":"Loney","given":"Fred"},{"family":"May","given":"Bruce"},{"family":"Milacic","given":"Marija"},{"family":"Rothfels","given":"Karen"},{"family":"Sevilla","given":"Cristoffer"},{"family":"Shamovsky","given":"Veronica"},{"family":"Shorser","given":"Solomon"},{"family":"Varusai","given":"Thawfeek"},{"family":"Weiser","given":"Joel"},{"family":"Wu","given":"Guanming"},{"family":"Stein","given":"Lincoln"},{"family":"Hermjakob","given":"Henning"},{"family":"D'Eustachio","given":"Peter"}],"authorYearDisplayFormat":false,"citation-label":"7763952","container-title":"Nucleic Acids Research","container-title-short":"Nucleic Acids Res.","id":"7763952","invisible":false,"issue":"D1","issued":{"date-parts":[["2020","1","8"]]},"journalAbbreviation":"Nucleic Acids Res.","page":"D498-D503","suppress-author":false,"title":"The Reactome Pathway Knowledgebase.","type":"article-journal","volume":"48"}]</w:instrText>
      </w:r>
      <w:r w:rsidR="00AE5A14" w:rsidRPr="00D43831">
        <w:rPr>
          <w:color w:val="auto"/>
        </w:rPr>
        <w:fldChar w:fldCharType="separate"/>
      </w:r>
      <w:r w:rsidRPr="00D43831">
        <w:rPr>
          <w:color w:val="auto"/>
          <w:vertAlign w:val="superscript"/>
        </w:rPr>
        <w:t>10,11</w:t>
      </w:r>
      <w:r w:rsidR="00AE5A14" w:rsidRPr="00D43831">
        <w:rPr>
          <w:color w:val="auto"/>
        </w:rPr>
        <w:fldChar w:fldCharType="end"/>
      </w:r>
      <w:r w:rsidRPr="00D43831">
        <w:rPr>
          <w:color w:val="auto"/>
        </w:rPr>
        <w:t>(</w:t>
      </w:r>
      <w:r w:rsidR="00D43831" w:rsidRPr="00D43831">
        <w:rPr>
          <w:color w:val="auto"/>
        </w:rPr>
        <w:t>Fig. S</w:t>
      </w:r>
      <w:r w:rsidRPr="00D43831">
        <w:rPr>
          <w:color w:val="auto"/>
        </w:rPr>
        <w:t xml:space="preserve">22a). </w:t>
      </w:r>
      <w:r w:rsidRPr="00D43831">
        <w:rPr>
          <w:i/>
          <w:iCs/>
          <w:color w:val="auto"/>
        </w:rPr>
        <w:t>TERT</w:t>
      </w:r>
      <w:r w:rsidRPr="00D43831">
        <w:rPr>
          <w:color w:val="auto"/>
        </w:rPr>
        <w:t xml:space="preserve"> rearrangements are associated with the upregulation of </w:t>
      </w:r>
      <w:r w:rsidRPr="00D43831">
        <w:rPr>
          <w:i/>
          <w:iCs/>
          <w:color w:val="auto"/>
        </w:rPr>
        <w:t>SLC6A18</w:t>
      </w:r>
      <w:r w:rsidRPr="00D43831">
        <w:rPr>
          <w:color w:val="auto"/>
        </w:rPr>
        <w:t xml:space="preserve"> and </w:t>
      </w:r>
      <w:r w:rsidRPr="00D43831">
        <w:rPr>
          <w:i/>
          <w:iCs/>
          <w:color w:val="auto"/>
        </w:rPr>
        <w:t>SLC6A19</w:t>
      </w:r>
      <w:r w:rsidRPr="00D43831">
        <w:rPr>
          <w:color w:val="auto"/>
        </w:rPr>
        <w:t xml:space="preserve">, genes neighbouring </w:t>
      </w:r>
      <w:r w:rsidRPr="00D43831">
        <w:rPr>
          <w:i/>
          <w:iCs/>
          <w:color w:val="auto"/>
        </w:rPr>
        <w:t>TERT</w:t>
      </w:r>
      <w:r w:rsidRPr="00D43831">
        <w:rPr>
          <w:color w:val="auto"/>
        </w:rPr>
        <w:t xml:space="preserve"> on the distal side of its breakpoint. Both these genes were significantly upregulated in </w:t>
      </w:r>
      <w:r w:rsidRPr="00D43831">
        <w:rPr>
          <w:b/>
          <w:bCs/>
          <w:color w:val="auto"/>
        </w:rPr>
        <w:t xml:space="preserve">T065 NEBLA ADR TERT </w:t>
      </w:r>
      <w:r w:rsidRPr="00D43831">
        <w:rPr>
          <w:color w:val="auto"/>
        </w:rPr>
        <w:t xml:space="preserve">(SLC6A18, median logFC= 3.77, FDR ≤ 3.78e-06; SLC6A19, median logFC= 3.88, FDR &lt; 2.96e-03), but not in </w:t>
      </w:r>
      <w:r w:rsidRPr="00D43831">
        <w:rPr>
          <w:b/>
          <w:bCs/>
          <w:color w:val="auto"/>
        </w:rPr>
        <w:t>T064 NEBLA MYCN,</w:t>
      </w:r>
      <w:r w:rsidRPr="00D43831">
        <w:rPr>
          <w:color w:val="auto"/>
        </w:rPr>
        <w:t xml:space="preserve"> suggesting </w:t>
      </w:r>
      <w:r w:rsidRPr="00D43831">
        <w:rPr>
          <w:b/>
          <w:bCs/>
          <w:color w:val="auto"/>
        </w:rPr>
        <w:t>T065 NEBLA ADR TERT</w:t>
      </w:r>
      <w:r w:rsidRPr="00D43831">
        <w:rPr>
          <w:color w:val="auto"/>
        </w:rPr>
        <w:t xml:space="preserve"> may be comprised of </w:t>
      </w:r>
      <w:r w:rsidRPr="00D43831">
        <w:rPr>
          <w:i/>
          <w:iCs/>
          <w:color w:val="auto"/>
        </w:rPr>
        <w:t>TERT</w:t>
      </w:r>
      <w:r w:rsidRPr="00D43831">
        <w:rPr>
          <w:color w:val="auto"/>
        </w:rPr>
        <w:t xml:space="preserve">-rearranged neuroblastomas. </w:t>
      </w:r>
      <w:r w:rsidRPr="00D43831">
        <w:rPr>
          <w:i/>
          <w:iCs/>
          <w:color w:val="auto"/>
        </w:rPr>
        <w:t>CCND1</w:t>
      </w:r>
      <w:r w:rsidRPr="00D43831">
        <w:rPr>
          <w:color w:val="auto"/>
        </w:rPr>
        <w:t xml:space="preserve"> amplification has been observed concurrently with </w:t>
      </w:r>
      <w:r w:rsidRPr="00D43831">
        <w:rPr>
          <w:i/>
          <w:iCs/>
          <w:color w:val="auto"/>
        </w:rPr>
        <w:t>TERT</w:t>
      </w:r>
      <w:r w:rsidRPr="00D43831">
        <w:rPr>
          <w:color w:val="auto"/>
        </w:rPr>
        <w:t xml:space="preserve"> rearrangements in neuroblastomas</w:t>
      </w:r>
      <w:r w:rsidR="00AE5A14" w:rsidRPr="00D43831">
        <w:rPr>
          <w:color w:val="auto"/>
        </w:rPr>
        <w:fldChar w:fldCharType="begin"/>
      </w:r>
      <w:r w:rsidR="00AE5A14" w:rsidRPr="00D43831">
        <w:rPr>
          <w:color w:val="auto"/>
        </w:rPr>
        <w:instrText>ADDIN F1000_CSL_CITATION&lt;~#@#~&gt;[{"DOI":"10.1038/s41598-020-78370-7","First":false,"Last":false,"PMCID":"PMC7775426","PMID":"33384420","abstract":"Neuroblastoma is the most common and deadly childhood tumor. Relapsed or refractory neuroblastoma has a very poor prognosis despite recent treatment advances. To investigate genomic alterations associated with relapse and therapy resistance, whole-genome sequencing was performed on diagnostic and relapsed lesions together with constitutional DNA from seven children. Sequencing of relapsed tumors indicates somatic alterations in diverse genes, including those involved in RAS-MAPK signaling, promoting cell cycle progression or function in telomere maintenance and immortalization. Among recurrent alterations, CCND1-gain, TERT-rearrangements, and point mutations in POLR2A, CDK5RAP, and MUC16 were shown in ≥ 2 individuals. Our cohort contained examples of converging genomic alterations in primary-relapse tumor pairs, indicating dependencies related to specific genetic lesions. We also detected rare genetic germline variants in DNA repair genes (e.g., BARD1, BRCA2, CHEK2, and WRN) that might cooperate with somatically acquired variants in these patients with highly aggressive recurrent neuroblastoma. Our data indicate the importance of monitoring recurrent neuroblastoma through sequential genomic characterization and that new therapeutic approaches combining the targeting of MAPK signaling, cell cycle progression, and telomere activity are required for this challenging patient group.","author":[{"family":"Fransson","given":"Susanne"},{"family":"Martinez-Monleon","given":"Angela"},{"family":"Johansson","given":"Mathias"},{"family":"Sjöberg","given":"Rose-Marie"},{"family":"Björklund","given":"Caroline"},{"family":"Ljungman","given":"Gustaf"},{"family":"Ek","given":"Torben"},{"family":"Kogner","given":"Per"},{"family":"Martinsson","given":"Tommy"}],"authorYearDisplayFormat":false,"citation-label":"10745205","container-title":"Scientific Reports","container-title-short":"Sci. Rep.","id":"10745205","invisible":false,"issue":"1","issued":{"date-parts":[["2020","12","31"]]},"journalAbbreviation":"Sci. Rep.","page":"22432","suppress-author":false,"title":"Whole-genome sequencing of recurrent neuroblastoma reveals somatic mutations that affect key players in cancer progression and telomere maintenance.","type":"article-journal","volume":"10"}]</w:instrText>
      </w:r>
      <w:r w:rsidR="00AE5A14" w:rsidRPr="00D43831">
        <w:rPr>
          <w:color w:val="auto"/>
        </w:rPr>
        <w:fldChar w:fldCharType="separate"/>
      </w:r>
      <w:r w:rsidRPr="00D43831">
        <w:rPr>
          <w:color w:val="auto"/>
          <w:vertAlign w:val="superscript"/>
        </w:rPr>
        <w:t>12</w:t>
      </w:r>
      <w:r w:rsidR="00AE5A14" w:rsidRPr="00D43831">
        <w:rPr>
          <w:color w:val="auto"/>
        </w:rPr>
        <w:fldChar w:fldCharType="end"/>
      </w:r>
      <w:r w:rsidRPr="00D43831">
        <w:rPr>
          <w:color w:val="auto"/>
        </w:rPr>
        <w:t xml:space="preserve"> and is highly upregulated in </w:t>
      </w:r>
      <w:r w:rsidRPr="00D43831">
        <w:rPr>
          <w:b/>
          <w:bCs/>
          <w:color w:val="auto"/>
        </w:rPr>
        <w:t xml:space="preserve">T065 </w:t>
      </w:r>
      <w:r w:rsidRPr="00D43831">
        <w:rPr>
          <w:rFonts w:eastAsia="Times New Roman" w:cstheme="minorBidi"/>
          <w:color w:val="auto"/>
          <w:lang w:bidi="he-IL"/>
        </w:rPr>
        <w:t xml:space="preserve">(median logFC= 1.09, FDR ≤ 5.67e-06). </w:t>
      </w:r>
      <w:r w:rsidRPr="00D43831">
        <w:rPr>
          <w:color w:val="auto"/>
        </w:rPr>
        <w:t xml:space="preserve">We find no significant differences in expression of </w:t>
      </w:r>
      <w:r w:rsidRPr="00D43831">
        <w:rPr>
          <w:i/>
          <w:iCs/>
          <w:color w:val="auto"/>
        </w:rPr>
        <w:t>ATRX</w:t>
      </w:r>
      <w:r w:rsidRPr="00D43831">
        <w:rPr>
          <w:color w:val="auto"/>
        </w:rPr>
        <w:t xml:space="preserve"> between cluster</w:t>
      </w:r>
      <w:r w:rsidR="002C6A05">
        <w:rPr>
          <w:color w:val="auto"/>
        </w:rPr>
        <w:t>s</w:t>
      </w:r>
      <w:r w:rsidRPr="00D43831">
        <w:rPr>
          <w:color w:val="auto"/>
        </w:rPr>
        <w:t xml:space="preserve">. </w:t>
      </w:r>
      <w:r w:rsidRPr="00D43831">
        <w:rPr>
          <w:b/>
          <w:bCs/>
          <w:color w:val="auto"/>
        </w:rPr>
        <w:t xml:space="preserve">T065 </w:t>
      </w:r>
      <w:r w:rsidRPr="00D43831">
        <w:rPr>
          <w:color w:val="auto"/>
        </w:rPr>
        <w:t>exhibits the lowest expression of gene sets related to adrenal development (</w:t>
      </w:r>
      <w:r w:rsidRPr="00D43831">
        <w:rPr>
          <w:color w:val="auto"/>
          <w:lang w:val="en-CA"/>
        </w:rPr>
        <w:t>medNES =</w:t>
      </w:r>
      <w:r w:rsidRPr="00D43831">
        <w:rPr>
          <w:rFonts w:cs="Calibri"/>
          <w:color w:val="auto"/>
        </w:rPr>
        <w:t xml:space="preserve"> 0.39</w:t>
      </w:r>
      <w:r w:rsidRPr="00D43831">
        <w:rPr>
          <w:color w:val="auto"/>
          <w:lang w:val="en-CA"/>
        </w:rPr>
        <w:t>, KW adj. p-val = 2.14e-12, Dunn adj. p-val &lt; 1.00e-04)</w:t>
      </w:r>
      <w:r w:rsidR="00AE5A14" w:rsidRPr="00D43831">
        <w:rPr>
          <w:color w:val="auto"/>
          <w:lang w:val="en-CA"/>
        </w:rPr>
        <w:fldChar w:fldCharType="begin"/>
      </w:r>
      <w:r w:rsidR="00AE5A14" w:rsidRPr="00D43831">
        <w:rPr>
          <w:color w:val="auto"/>
          <w:lang w:val="en-CA"/>
        </w:rPr>
        <w:instrText>ADDIN F1000_CSL_CITATION&lt;~#@#~&gt;[{"DOI":"10.1093/nar/gky1055","First":false,"Last":false,"PMCID":"PMC6323945","PMID":"30395331","abstract":"The Gene Ontology resource (GO; http://geneontology.org) provides structured, computable knowledge regarding the functions of genes and gene products. Founded in 1998, GO has become widely adopted in the life sciences, and its contents are under continual improvement, both in quantity and in quality. Here, we report the major developments of the GO resource during the past two years. Each monthly release of the GO resource is now packaged and given a unique identifier (DOI), enabling GO-based analyses on a specific release to be reproduced in the future. The molecular function ontology has been refactored to better represent the overall activities of gene products, with a focus on transcription regulator activities. Quality assurance efforts have been ramped up to address potentially out-of-date or inaccurate annotations. New evidence codes for high-throughput experiments now enable users to filter out annotations obtained from these sources. GO-CAM, a new framework for representing gene function that is more expressive than standard GO annotations, has been released, and users can now explore the growing repository of these models. We also provide the 'GO ribbon' widget for visualizing GO annotations to a gene; the widget can be easily embedded in any web page.","author":[{"family":"The Gene Ontology Consortium"}],"authorYearDisplayFormat":false,"citation-label":"6481881","container-title":"Nucleic Acids Research","container-title-short":"Nucleic Acids Res.","id":"6481881","invisible":false,"issue":"D1","issued":{"date-parts":[["2019","1","8"]]},"journalAbbreviation":"Nucleic Acids Res.","page":"D330-D338","suppress-author":false,"title":"The Gene Ontology Resource: 20 years and still GOing strong.","type":"article-journal","volume":"47"},{"DOI":"10.1038/75556","First":false,"Last":false,"PMCID":"PMC3037419","PMID":"10802651","abstract":"Genomic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component.","author":[{"family":"Ashburner","given":"M"},{"family":"Ball","given":"C A"},{"family":"Blake","given":"J A"},{"family":"Botstein","given":"D"},{"family":"Butler","given":"H"},{"family":"Cherry","given":"J M"},{"family":"Davis","given":"A P"},{"family":"Dolinski","given":"K"},{"family":"Dwight","given":"S S"},{"family":"Eppig","given":"J T"},{"family":"Harris","given":"M A"},{"family":"Hill","given":"D P"},{"family":"Issel-Tarver","given":"L"},{"family":"Kasarskis","given":"A"},{"family":"Lewis","given":"S"},{"family":"Matese","given":"J C"},{"family":"Richardson","given":"J E"},{"family":"Ringwald","given":"M"},{"family":"Rubin","given":"G M"},{"family":"Sherlock","given":"G"}],"authorYearDisplayFormat":false,"citation-label":"48995","container-title":"Nature Genetics","container-title-short":"Nat. Genet.","id":"48995","invisible":false,"issue":"1","issued":{"date-parts":[["2000","5"]]},"journalAbbreviation":"Nat. Genet.","page":"25-29","suppress-author":false,"title":"Gene Ontology: tool for the unification of biology","type":"article-journal","volume":"25"}]</w:instrText>
      </w:r>
      <w:r w:rsidR="00AE5A14" w:rsidRPr="00D43831">
        <w:rPr>
          <w:color w:val="auto"/>
          <w:lang w:val="en-CA"/>
        </w:rPr>
        <w:fldChar w:fldCharType="separate"/>
      </w:r>
      <w:r w:rsidRPr="00D43831">
        <w:rPr>
          <w:noProof/>
          <w:color w:val="auto"/>
          <w:vertAlign w:val="superscript"/>
          <w:lang w:val="en-CA"/>
        </w:rPr>
        <w:t>3,4</w:t>
      </w:r>
      <w:r w:rsidR="00AE5A14" w:rsidRPr="00D43831">
        <w:rPr>
          <w:color w:val="auto"/>
          <w:lang w:val="en-CA"/>
        </w:rPr>
        <w:fldChar w:fldCharType="end"/>
      </w:r>
      <w:r w:rsidRPr="00D43831">
        <w:rPr>
          <w:color w:val="auto"/>
        </w:rPr>
        <w:t xml:space="preserve">, as well as low expression of mature chromaffin markers such as </w:t>
      </w:r>
      <w:r w:rsidRPr="00D43831">
        <w:rPr>
          <w:i/>
          <w:iCs/>
          <w:color w:val="auto"/>
        </w:rPr>
        <w:t>EPAS1</w:t>
      </w:r>
      <w:r w:rsidRPr="00D43831">
        <w:rPr>
          <w:color w:val="auto"/>
        </w:rPr>
        <w:t xml:space="preserve"> (median LogFC= -1.09, FDR ≤ 4.412e-02)</w:t>
      </w:r>
      <w:r w:rsidR="00AE5A14" w:rsidRPr="00D43831">
        <w:rPr>
          <w:color w:val="auto"/>
        </w:rPr>
        <w:fldChar w:fldCharType="begin"/>
      </w:r>
      <w:r w:rsidR="00AE5A14" w:rsidRPr="00D43831">
        <w:rPr>
          <w:color w:val="auto"/>
        </w:rPr>
        <w:instrText>ADDIN F1000_CSL_CITATION&lt;~#@#~&gt;[{"DOI":"10.1016/j.bbrc.2018.12.076","First":false,"Last":false,"PMID":"30563765","abstract":"The hypoxia inducible transcription factor EPAS1/HIF2α has been described as an oncogene and a potential therapeutic target in neuroblastoma. Our analysis of several neuroblastoma tumour expression datasets does not support an oncogenic role, instead EPAS1 expression is associated with better patient outcome and characteristics of low-risk tumours. Treatment with HIF2α inhibitors did not block in vitro neuroblastoma cell proliferation nor xenograft growth. In addition, we analysed single cell sequencing data sets from the developing mouse sympathoadrenal lineage, wherein expression of Epas1 was a strong predictor of differentiated adrenal chromaffin cells and negatively correlated with progenitor characteristics. This was reflected in neuroblastoma tumours wherein genes co-expressed with Epas1 during sympathoadrenal development strongly predicts favourable patient outcome and features of low-risk tumours. Thus, our analysis suggest that with the current available data EPAS1/HIF2α should not be classified as a neuroblastoma oncogene and is less likely to represent a suitable drug target in this disease.&lt;br&gt;&lt;br&gt;Copyright © 2018 Elsevier Inc. All rights reserved.","author":[{"family":"Westerlund","given":"Isabelle"},{"family":"Shi","given":"Yao"},{"family":"Holmberg","given":"Johan"}],"authorYearDisplayFormat":false,"citation-label":"9799676","container-title":"Biochemical and Biophysical Research Communications","container-title-short":"Biochem. Biophys. Res. Commun.","id":"9799676","invisible":false,"issue":"4","issued":{"date-parts":[["2019","1","22"]]},"journalAbbreviation":"Biochem. Biophys. Res. Commun.","page":"1233-1239","suppress-author":false,"title":"EPAS1/HIF2α correlates with features of low-risk neuroblastoma and with adrenal chromaffin cell differentiation during sympathoadrenal development.","type":"article-journal","volume":"508"}]</w:instrText>
      </w:r>
      <w:r w:rsidR="00AE5A14" w:rsidRPr="00D43831">
        <w:rPr>
          <w:color w:val="auto"/>
        </w:rPr>
        <w:fldChar w:fldCharType="separate"/>
      </w:r>
      <w:r w:rsidRPr="00D43831">
        <w:rPr>
          <w:color w:val="auto"/>
          <w:vertAlign w:val="superscript"/>
        </w:rPr>
        <w:t>13</w:t>
      </w:r>
      <w:r w:rsidR="00AE5A14" w:rsidRPr="00D43831">
        <w:rPr>
          <w:color w:val="auto"/>
        </w:rPr>
        <w:fldChar w:fldCharType="end"/>
      </w:r>
      <w:r w:rsidRPr="00D43831">
        <w:rPr>
          <w:color w:val="auto"/>
        </w:rPr>
        <w:t>, suggesting this cluster is formed of poorly differentiated neuroblastomas. To further support this hypothesis, we observe here the highest median stemness score (0.81) among all classes, while a non-negligible immune infiltration score is also observed (.45) (</w:t>
      </w:r>
      <w:r w:rsidR="00D43831" w:rsidRPr="00D43831">
        <w:rPr>
          <w:color w:val="auto"/>
        </w:rPr>
        <w:t>Fig.</w:t>
      </w:r>
      <w:r w:rsidRPr="00D43831">
        <w:rPr>
          <w:color w:val="auto"/>
        </w:rPr>
        <w:t xml:space="preserve"> 5c</w:t>
      </w:r>
      <w:r w:rsidR="00D43831" w:rsidRPr="00D43831">
        <w:rPr>
          <w:color w:val="auto"/>
        </w:rPr>
        <w:t>,</w:t>
      </w:r>
      <w:r w:rsidRPr="00D43831">
        <w:rPr>
          <w:color w:val="auto"/>
        </w:rPr>
        <w:t xml:space="preserve"> 5e). </w:t>
      </w:r>
    </w:p>
    <w:p w14:paraId="7744C23A" w14:textId="1C44AA72" w:rsidR="00AE5A14" w:rsidRPr="00D43831" w:rsidRDefault="00AE5A14" w:rsidP="00AE5A14">
      <w:pPr>
        <w:spacing w:before="100" w:beforeAutospacing="1" w:after="100" w:afterAutospacing="1" w:line="240" w:lineRule="auto"/>
        <w:ind w:right="0" w:firstLine="0"/>
        <w:rPr>
          <w:color w:val="auto"/>
        </w:rPr>
      </w:pPr>
      <w:r w:rsidRPr="00D43831">
        <w:rPr>
          <w:color w:val="auto"/>
        </w:rPr>
        <w:t xml:space="preserve">Hypermethylation of the </w:t>
      </w:r>
      <w:r w:rsidRPr="00D43831">
        <w:rPr>
          <w:i/>
          <w:iCs/>
          <w:color w:val="auto"/>
        </w:rPr>
        <w:t>TERT</w:t>
      </w:r>
      <w:r w:rsidRPr="00D43831">
        <w:rPr>
          <w:color w:val="auto"/>
        </w:rPr>
        <w:t xml:space="preserve"> locus in high-risk neuroblastomas has been reported in literature</w:t>
      </w:r>
      <w:r w:rsidRPr="00D43831">
        <w:rPr>
          <w:color w:val="auto"/>
        </w:rPr>
        <w:fldChar w:fldCharType="begin"/>
      </w:r>
      <w:r w:rsidR="00D35CCC" w:rsidRPr="00D43831">
        <w:rPr>
          <w:color w:val="auto"/>
        </w:rPr>
        <w:instrText>ADDIN F1000_CSL_CITATION&lt;~#@#~&gt;[{"DOI":"10.1080/15592294.2016.1138195","First":false,"Last":false,"PMCID":"PMC4846113","PMID":"26786290","abstract":"Neuroblastoma is a very heterogeneous tumor of childhood. The clinical spectra range from very aggressive metastatic disease to spontaneous regression, even without therapy. Aberrant DNA methylation pattern is a common feature of most cancers. For neuroblastoma, it has been demonstrated both for single genes as well as genome-wide, where a so-called methylator phenotype has been described. Here, we present a study using Illumina 450K methylation arrays on 60 neuroblastoma tumors. We show that aggressive tumors, characterized by International Neuroblastoma Risk Group (INRG) as stage M, are hypermethylated compared to low-grade tumors. On the contrary, INRG stage L tumors display more non-CpG methylation. The genes with the highest number of hypermethylated CpG sites in INRG M tumors are TERT, PCDHGA4, DLX5, and DLX6-AS1. Gene ontology analysis showed a representation of neuronal tumor relevant gene functions among the differentially methylated genes. For validation, we used a set of independent tumors previously analyzed with the Illumina 27K methylation arrays, which confirmed the differentially methylated sites. Top candidate genes with aberrant methylation were analyzed for altered gene expression through the R2 platform ( http://r2.amc.nl), and for correlations between methylation and gene expression in a public dataset. Altered expression in nonsurvivors was found for the genes B3GALT4 and KIAA1949, CLIC5, DLX6-AS, TERT, and PIRT, and strongest correlations were found for TRIM36, KIAA0513, and PIRT. Our data indicate that methylation profiling can be used for patient stratification and informs on epigenetically deregulated genes with the potential of increasing our knowledge about the underlying mechanisms of tumor development.","author":[{"family":"Olsson","given":"Maja"},{"family":"Beck","given":"Stephan"},{"family":"Kogner","given":"Per"},{"family":"Martinsson","given":"Tommy"},{"family":"Carén","given":"Helena"}],"authorYearDisplayFormat":false,"citation-label":"1229017","container-title":"Epigenetics","container-title-short":"Epigenetics","id":"1229017","invisible":false,"issue":"1","issued":{"date-parts":[["2016","1","19"]]},"journalAbbreviation":"Epigenetics","page":"74-84","suppress-author":false,"title":"Genome-wide methylation profiling identifies novel methylated genes in neuroblastoma tumors.","type":"article-journal","volume":"11"}]</w:instrText>
      </w:r>
      <w:r w:rsidRPr="00D43831">
        <w:rPr>
          <w:color w:val="auto"/>
        </w:rPr>
        <w:fldChar w:fldCharType="separate"/>
      </w:r>
      <w:r w:rsidR="00D35CCC" w:rsidRPr="00D43831">
        <w:rPr>
          <w:noProof/>
          <w:color w:val="auto"/>
          <w:vertAlign w:val="superscript"/>
        </w:rPr>
        <w:t>14</w:t>
      </w:r>
      <w:r w:rsidRPr="00D43831">
        <w:rPr>
          <w:color w:val="auto"/>
        </w:rPr>
        <w:fldChar w:fldCharType="end"/>
      </w:r>
      <w:r w:rsidRPr="00D43831">
        <w:rPr>
          <w:color w:val="auto"/>
        </w:rPr>
        <w:t xml:space="preserve">. In line with this observation, </w:t>
      </w:r>
      <w:r w:rsidRPr="00D43831">
        <w:rPr>
          <w:b/>
          <w:color w:val="auto"/>
        </w:rPr>
        <w:t xml:space="preserve">T065 </w:t>
      </w:r>
      <w:r w:rsidR="00003054">
        <w:rPr>
          <w:b/>
          <w:color w:val="auto"/>
        </w:rPr>
        <w:t>NEBLA ADR TERT</w:t>
      </w:r>
      <w:r w:rsidRPr="00D43831">
        <w:rPr>
          <w:color w:val="auto"/>
        </w:rPr>
        <w:t xml:space="preserve"> shows enrichment for DNA methylation pathways (</w:t>
      </w:r>
      <w:r w:rsidR="000E3ED6" w:rsidRPr="00D43831">
        <w:rPr>
          <w:color w:val="auto"/>
        </w:rPr>
        <w:t>medNES</w:t>
      </w:r>
      <w:r w:rsidRPr="00D43831">
        <w:rPr>
          <w:color w:val="auto"/>
        </w:rPr>
        <w:t xml:space="preserve"> </w:t>
      </w:r>
      <w:r w:rsidR="00B14E8A" w:rsidRPr="00D43831">
        <w:rPr>
          <w:color w:val="auto"/>
        </w:rPr>
        <w:t>≥</w:t>
      </w:r>
      <w:r w:rsidRPr="00D43831">
        <w:rPr>
          <w:color w:val="auto"/>
        </w:rPr>
        <w:t xml:space="preserve"> 1.04, </w:t>
      </w:r>
      <w:r w:rsidR="000E3ED6" w:rsidRPr="00D43831">
        <w:rPr>
          <w:color w:val="auto"/>
        </w:rPr>
        <w:t>KW</w:t>
      </w:r>
      <w:r w:rsidRPr="00D43831">
        <w:rPr>
          <w:color w:val="auto"/>
        </w:rPr>
        <w:t xml:space="preserve"> = 2.79e-14), and numerous histone modification gene sets: notably methylation of </w:t>
      </w:r>
      <w:r w:rsidRPr="00D43831">
        <w:rPr>
          <w:i/>
          <w:iCs/>
          <w:color w:val="auto"/>
        </w:rPr>
        <w:t>H3K4</w:t>
      </w:r>
      <w:r w:rsidRPr="00D43831">
        <w:rPr>
          <w:color w:val="auto"/>
        </w:rPr>
        <w:t>, a transcriptional inducer (</w:t>
      </w:r>
      <w:r w:rsidR="000E3ED6" w:rsidRPr="00D43831">
        <w:rPr>
          <w:color w:val="auto"/>
        </w:rPr>
        <w:t>medNES</w:t>
      </w:r>
      <w:r w:rsidRPr="00D43831">
        <w:rPr>
          <w:color w:val="auto"/>
        </w:rPr>
        <w:t xml:space="preserve"> </w:t>
      </w:r>
      <w:r w:rsidR="00B14E8A" w:rsidRPr="00D43831">
        <w:rPr>
          <w:color w:val="auto"/>
        </w:rPr>
        <w:t>≥</w:t>
      </w:r>
      <w:r w:rsidRPr="00D43831">
        <w:rPr>
          <w:color w:val="auto"/>
        </w:rPr>
        <w:t xml:space="preserve"> 1.02, KW p-val = 2.97e-13), and methylation of </w:t>
      </w:r>
      <w:r w:rsidRPr="00D43831">
        <w:rPr>
          <w:i/>
          <w:iCs/>
          <w:color w:val="auto"/>
        </w:rPr>
        <w:t>H3K9</w:t>
      </w:r>
      <w:r w:rsidRPr="00D43831">
        <w:rPr>
          <w:color w:val="auto"/>
        </w:rPr>
        <w:t xml:space="preserve">, a known silencer of </w:t>
      </w:r>
      <w:r w:rsidR="00F05352">
        <w:rPr>
          <w:color w:val="auto"/>
        </w:rPr>
        <w:t>tumor</w:t>
      </w:r>
      <w:r w:rsidRPr="00D43831">
        <w:rPr>
          <w:color w:val="auto"/>
        </w:rPr>
        <w:t xml:space="preserve"> suppressors (</w:t>
      </w:r>
      <w:r w:rsidR="000E3ED6" w:rsidRPr="00D43831">
        <w:rPr>
          <w:color w:val="auto"/>
        </w:rPr>
        <w:t>medNES</w:t>
      </w:r>
      <w:r w:rsidRPr="00D43831">
        <w:rPr>
          <w:color w:val="auto"/>
        </w:rPr>
        <w:t xml:space="preserve"> </w:t>
      </w:r>
      <w:r w:rsidR="00B14E8A" w:rsidRPr="00D43831">
        <w:rPr>
          <w:color w:val="auto"/>
        </w:rPr>
        <w:t xml:space="preserve">≥ </w:t>
      </w:r>
      <w:r w:rsidRPr="00D43831">
        <w:rPr>
          <w:color w:val="auto"/>
        </w:rPr>
        <w:t>1.15, KW p-val = 1.78e-12)</w:t>
      </w:r>
      <w:r w:rsidRPr="00D43831">
        <w:rPr>
          <w:color w:val="auto"/>
        </w:rPr>
        <w:fldChar w:fldCharType="begin"/>
      </w:r>
      <w:r w:rsidR="00D35CCC" w:rsidRPr="00D43831">
        <w:rPr>
          <w:color w:val="auto"/>
        </w:rPr>
        <w:instrText>ADDIN F1000_CSL_CITATION&lt;~#@#~&gt;[{"DOI":"10.1038/75556","First":false,"Last":false,"PMCID":"PMC3037419","PMID":"10802651","abstract":"Genomic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component.","author":[{"family":"Ashburner","given":"M"},{"family":"Ball","given":"C A"},{"family":"Blake","given":"J A"},{"family":"Botstein","given":"D"},{"family":"Butler","given":"H"},{"family":"Cherry","given":"J M"},{"family":"Davis","given":"A P"},{"family":"Dolinski","given":"K"},{"family":"Dwight","given":"S S"},{"family":"Eppig","given":"J T"},{"family":"Harris","given":"M A"},{"family":"Hill","given":"D P"},{"family":"Issel-Tarver","given":"L"},{"family":"Kasarskis","given":"A"},{"family":"Lewis","given":"S"},{"family":"Matese","given":"J C"},{"family":"Richardson","given":"J E"},{"family":"Ringwald","given":"M"},{"family":"Rubin","given":"G M"},{"family":"Sherlock","given":"G"}],"authorYearDisplayFormat":false,"citation-label":"48995","container-title":"Nature Genetics","container-title-short":"Nat. Genet.","id":"48995","invisible":false,"issue":"1","issued":{"date-parts":[["2000","5"]]},"journalAbbreviation":"Nat. Genet.","page":"25-29","suppress-author":false,"title":"Gene Ontology: tool for the unification of biology","type":"article-journal","volume":"25"},{"DOI":"10.1093/nar/gky1055","First":false,"Last":false,"PMCID":"PMC6323945","PMID":"30395331","abstract":"The Gene Ontology resource (GO; http://geneontology.org) provides structured, computable knowledge regarding the functions of genes and gene products. Founded in 1998, GO has become widely adopted in the life sciences, and its contents are under continual improvement, both in quantity and in quality. Here, we report the major developments of the GO resource during the past two years. Each monthly release of the GO resource is now packaged and given a unique identifier (DOI), enabling GO-based analyses on a specific release to be reproduced in the future. The molecular function ontology has been refactored to better represent the overall activities of gene products, with a focus on transcription regulator activities. Quality assurance efforts have been ramped up to address potentially out-of-date or inaccurate annotations. New evidence codes for high-throughput experiments now enable users to filter out annotations obtained from these sources. GO-CAM, a new framework for representing gene function that is more expressive than standard GO annotations, has been released, and users can now explore the growing repository of these models. We also provide the 'GO ribbon' widget for visualizing GO annotations to a gene; the widget can be easily embedded in any web page.","author":[{"family":"The Gene Ontology Consortium"}],"authorYearDisplayFormat":false,"citation-label":"6481881","container-title":"Nucleic Acids Research","container-title-short":"Nucleic Acids Res.","id":"6481881","invisible":false,"issue":"D1","issued":{"date-parts":[["2019","1","8"]]},"journalAbbreviation":"Nucleic Acids Res.","page":"D330-D338","suppress-author":false,"title":"The Gene Ontology Resource: 20 years and still GOing strong.","type":"article-journal","volume":"47"},{"DOI":"10.1371/journal.pone.0106962","First":false,"Last":false,"PMCID":"PMC4157855","PMID":"25198515","abstract":"Histone methylation plays an important role in gene transcription and chromatin organization and is linked to the silencing of a number of critical tumor suppressor genes in tumorigenesis. G9a is a histone methyltransferase (HMTase) for histone H3 lysine 9. In this study, we investigated the role of G9a in neuroblastoma tumor growth together with the G9a inhibitor BIX01294. The exposure of neuroblastoma cells to BIX01294 resulted in the inhibition of cell growth and proliferation, and BIX01294 treatment resulted in the inhibition of the tumorigenicity of neuroblastoma cells in NOD/SCID mice. Therefore, G9a may be a potential therapeutic target in neuroblastoma. Moreover, we found several specific characteristics of autophagy after BIX01294 treatment, including the appearance of membranous vacuoles and microtubule-associated protein light chain 3 (LC3B). Similar results were observed in G9a-knockdown cells. In conclusion, our results demonstrated that G9a is a prognostic marker in neuroblastoma, and revealed a potential role of G9a in regulating the autophagy signaling pathway in neuroblastoma. ","author":[{"family":"Ke","given":"Xiao-Xue"},{"family":"Zhang","given":"Dunke"},{"family":"Zhu","given":"Shunqin"},{"family":"Xia","given":"Qingyou"},{"family":"Xiang","given":"Zhonghuai"},{"family":"Cui","given":"Hongjuan"}],"authorYearDisplayFormat":false,"citation-label":"8800780","container-title":"Plos One","container-title-short":"PLoS ONE","id":"8800780","invisible":false,"issue":"9","issued":{"date-parts":[["2014","9","8"]]},"journalAbbreviation":"PLoS ONE","page":"e106962","suppress-author":false,"title":"Inhibition of H3K9 methyltransferase G9a repressed cell proliferation and induced autophagy in neuroblastoma cells.","type":"article-journal","volume":"9"},{"DOI":"10.1007/s00441-017-2773-y","First":false,"Last":false,"PMID":"29350283","abstract":"In recent years, technological advances have enabled a detailed landscaping of the epigenome and the mechanisms of epigenetic regulation that drive normal cell function, development and cancer. Rather than merely a structural entity to support genome compaction, we now look at chromatin as a very dynamic and essential constellation that is actively participating in the tight orchestration of transcriptional regulation as well as DNA replication and repair. The unique feature of chromatin flexibility enabling fast switches towards more or less restricted epigenetic cellular states is, not surprisingly, intimately connected to cancer development and treatment resistance, and the central role of epigenetic alterations in cancer is illustrated by the finding that up to 50% of all mutations across cancer entities affect proteins controlling the chromatin status. We summarize recent insights into epigenetic rewiring underlying neuroblastoma (NB) tumor formation ranging from changes in DNA methylation patterns and mutations in epigenetic regulators to global effects on transcriptional regulatory circuits that involve key players in NB oncogenesis. Insights into the disruption of the homeostatic epigenetic balance contributing to developmental arrest of sympathetic progenitor cells and subsequent NB oncogenesis are rapidly growing and will be exploited towards the development of novel therapeutic strategies to increase current survival rates of patients with high-risk NB.","author":[{"family":"Durinck","given":"Kaat"},{"family":"Speleman","given":"Frank"}],"authorYearDisplayFormat":false,"citation-label":"11116537","container-title":"Cell and Tissue Research","container-title-short":"Cell Tissue Res.","id":"11116537","invisible":false,"issue":"2","issued":{"date-parts":[["2018","5"]]},"journalAbbreviation":"Cell Tissue Res.","page":"309-324","suppress-author":false,"title":"Epigenetic regulation of neuroblastoma development.","type":"article-journal","volume":"372"}]</w:instrText>
      </w:r>
      <w:r w:rsidRPr="00D43831">
        <w:rPr>
          <w:color w:val="auto"/>
        </w:rPr>
        <w:fldChar w:fldCharType="separate"/>
      </w:r>
      <w:r w:rsidR="00D35CCC" w:rsidRPr="00D43831">
        <w:rPr>
          <w:noProof/>
          <w:color w:val="auto"/>
          <w:vertAlign w:val="superscript"/>
        </w:rPr>
        <w:t>3,4,15,16</w:t>
      </w:r>
      <w:r w:rsidRPr="00D43831">
        <w:rPr>
          <w:color w:val="auto"/>
        </w:rPr>
        <w:fldChar w:fldCharType="end"/>
      </w:r>
      <w:r w:rsidRPr="00D43831">
        <w:rPr>
          <w:color w:val="auto"/>
        </w:rPr>
        <w:t xml:space="preserve">. Furthermore, </w:t>
      </w:r>
      <w:r w:rsidRPr="00D43831">
        <w:rPr>
          <w:b/>
          <w:color w:val="auto"/>
        </w:rPr>
        <w:t xml:space="preserve">T065 </w:t>
      </w:r>
      <w:r w:rsidRPr="00D43831">
        <w:rPr>
          <w:color w:val="auto"/>
        </w:rPr>
        <w:t>is highly enriched for PRC2 complex activity (</w:t>
      </w:r>
      <w:r w:rsidR="000E3ED6" w:rsidRPr="00D43831">
        <w:rPr>
          <w:color w:val="auto"/>
        </w:rPr>
        <w:t>medNES</w:t>
      </w:r>
      <w:r w:rsidRPr="00D43831">
        <w:rPr>
          <w:color w:val="auto"/>
        </w:rPr>
        <w:t xml:space="preserve"> </w:t>
      </w:r>
      <w:r w:rsidR="00B14E8A" w:rsidRPr="00D43831">
        <w:rPr>
          <w:color w:val="auto"/>
        </w:rPr>
        <w:t>≥</w:t>
      </w:r>
      <w:r w:rsidRPr="00D43831">
        <w:rPr>
          <w:color w:val="auto"/>
        </w:rPr>
        <w:t xml:space="preserve"> 1.06, </w:t>
      </w:r>
      <w:r w:rsidR="000E3ED6" w:rsidRPr="00D43831">
        <w:rPr>
          <w:color w:val="auto"/>
        </w:rPr>
        <w:t>KW</w:t>
      </w:r>
      <w:r w:rsidRPr="00D43831">
        <w:rPr>
          <w:color w:val="auto"/>
        </w:rPr>
        <w:t xml:space="preserve"> = 1.15e-14</w:t>
      </w:r>
      <w:r w:rsidR="00EE6BAD" w:rsidRPr="00D43831">
        <w:rPr>
          <w:color w:val="auto"/>
        </w:rPr>
        <w:t>, Dunn adj. p-val &lt; 1.00e-03</w:t>
      </w:r>
      <w:r w:rsidRPr="00D43831">
        <w:rPr>
          <w:color w:val="auto"/>
        </w:rPr>
        <w:t>)</w:t>
      </w:r>
      <w:r w:rsidR="004A4094" w:rsidRPr="00D43831">
        <w:rPr>
          <w:color w:val="auto"/>
        </w:rPr>
        <w:fldChar w:fldCharType="begin"/>
      </w:r>
      <w:r w:rsidR="00D35CCC" w:rsidRPr="00D43831">
        <w:rPr>
          <w:color w:val="auto"/>
        </w:rPr>
        <w:instrText>ADDIN F1000_CSL_CITATION&lt;~#@#~&gt;[{"DOI":"10.1089/152791601750294344","First":false,"Last":false,"author":[{"family":"Nishimura","given":"Darryl"}],"authorYearDisplayFormat":false,"citation-label":"3203978","container-title":"Biotech Software &amp; Internet Report","container-title-short":"Biotech Software &amp; Internet Report","id":"3203978","invisible":false,"issue":"3","issued":{"date-parts":[["2001","6"]]},"journalAbbreviation":"Biotech Software &amp; Internet Report","page":"117-120","suppress-author":false,"title":"BioCarta","type":"article-journal","volume":"2"}]</w:instrText>
      </w:r>
      <w:r w:rsidR="004A4094" w:rsidRPr="00D43831">
        <w:rPr>
          <w:color w:val="auto"/>
        </w:rPr>
        <w:fldChar w:fldCharType="separate"/>
      </w:r>
      <w:r w:rsidR="00D35CCC" w:rsidRPr="00D43831">
        <w:rPr>
          <w:noProof/>
          <w:color w:val="auto"/>
          <w:vertAlign w:val="superscript"/>
        </w:rPr>
        <w:t>17</w:t>
      </w:r>
      <w:r w:rsidR="004A4094" w:rsidRPr="00D43831">
        <w:rPr>
          <w:color w:val="auto"/>
        </w:rPr>
        <w:fldChar w:fldCharType="end"/>
      </w:r>
      <w:r w:rsidRPr="00D43831">
        <w:rPr>
          <w:color w:val="auto"/>
        </w:rPr>
        <w:t xml:space="preserve">. Though PRC2 activity is usually examined in the context of </w:t>
      </w:r>
      <w:r w:rsidRPr="00D43831">
        <w:rPr>
          <w:i/>
          <w:iCs/>
          <w:color w:val="auto"/>
        </w:rPr>
        <w:t>MYCN</w:t>
      </w:r>
      <w:r w:rsidRPr="00D43831">
        <w:rPr>
          <w:color w:val="auto"/>
        </w:rPr>
        <w:t xml:space="preserve"> amplification</w:t>
      </w:r>
      <w:r w:rsidRPr="00D43831">
        <w:rPr>
          <w:color w:val="auto"/>
        </w:rPr>
        <w:fldChar w:fldCharType="begin"/>
      </w:r>
      <w:r w:rsidR="00D35CCC" w:rsidRPr="00D43831">
        <w:rPr>
          <w:color w:val="auto"/>
        </w:rPr>
        <w:instrText>ADDIN F1000_CSL_CITATION&lt;~#@#~&gt;[{"DOI":"10.1074/jbc.M113.454280","First":false,"Last":false,"PMCID":"PMC3605651","PMID":"23362253","abstract":"CLU (clusterin) is a tumor suppressor gene that we have previously shown to be negatively modulated by the MYCN proto-oncogene, but the mechanism of repression was unclear. Here, we show that MYCN inhibits the expression of CLU by direct interaction with the non-canonical E box sequence CACGCG in the 5'-flanking region. Binding of MYCN to the CLU gene induces bivalent epigenetic marks and recruitment of repressive proteins such as histone deacetylases and Polycomb members. MYCN physically binds in vitro and in vivo to EZH2, a component of the Polycomb repressive complex 2, required to repress CLU. Notably, EZH2 interacts with the Myc box domain 3, a segment of MYC known to be essential for its transforming effects. The expression of CLU can be restored in MYCN-amplified cells by epigenetic drugs with therapeutic results. Importantly, the anticancer effects of the drugs are ablated if CLU expression is blunted by RNA interference. Our study implies that MYC tumorigenesis can be effectively antagonized by epigenetic drugs that interfere with the recruitment of chromatin modifiers at repressive E boxes of tumor suppressor genes such as CLU.","author":[{"family":"Corvetta","given":"Daisy"},{"family":"Chayka","given":"Olesya"},{"family":"Gherardi","given":"Samuele"},{"family":"D'Acunto","given":"Cosimo W"},{"family":"Cantilena","given":"Sandra"},{"family":"Valli","given":"Emanuele"},{"family":"Piotrowska","given":"Izabela"},{"family":"Perini","given":"Giovanni"},{"family":"Sala","given":"Arturo"}],"authorYearDisplayFormat":false,"citation-label":"10745169","container-title":"The Journal of Biological Chemistry","container-title-short":"J. Biol. Chem.","id":"10745169","invisible":false,"issue":"12","issued":{"date-parts":[["2013","3","22"]]},"journalAbbreviation":"J. Biol. Chem.","page":"8332-8341","suppress-author":false,"title":"Physical interaction between MYCN oncogene and polycomb repressive complex 2 (PRC2) in neuroblastoma: functional and therapeutic implications.","type":"article-journal","volume":"288"},{"DOI":"10.1158/0008-5472.CAN-16-3144","First":false,"Last":false,"PMID":"28807939","abstract":"Pediatric cancers such as neuroblastoma are thought to involve a dysregulation of embryonic development. However, it has been difficult to identify the critical events that trigger tumorigenesis and differentiate them from normal development. In this study, we report the establishment of a spheroid culture method that enriches early-stage tumor cells from TH-MYCN mice, a preclinical model of neuroblastoma. Using this method, we found that tumorigenic cells were evident as early as day E13.5 during embryo development, when the MYC and PRC2 transcriptomes were significantly altered. Ezh2, an essential component of PRC2, was expressed in embryonic and postnatal tumor lesions and physically associated with N-MYC and we observed that H3K27me3 was increased at PRC2 target genes. PRC2 inhibition suppressed in vitro sphere formation, derepressed its target genes, and suppressed in situ tumor growth. In clinical specimens, expression of MYC and PRC2 target genes correlated strongly and predicted survival outcomes. Together, our findings highlighted PRC2-mediated transcriptional control during embryogenesis as a critical step in the development and clinical outcome of neuroblastoma. Cancer Res; 77(19); 5259-71. ©2017 AACR.&lt;br&gt;&lt;br&gt;©2017 American Association for Cancer Research.","author":[{"family":"Tsubota","given":"Shoma"},{"family":"Kishida","given":"Satoshi"},{"family":"Shimamura","given":"Teppei"},{"family":"Ohira","given":"Miki"},{"family":"Yamashita","given":"Satoshi"},{"family":"Cao","given":"Dongliang"},{"family":"Kiyonari","given":"Shinichi"},{"family":"Ushijima","given":"Toshikazu"},{"family":"Kadomatsu","given":"Kenji"}],"authorYearDisplayFormat":false,"citation-label":"4304441","container-title":"Cancer Research","container-title-short":"Cancer Res.","id":"4304441","invisible":false,"issue":"19","issued":{"date-parts":[["2017","10","1"]]},"journalAbbreviation":"Cancer Res.","page":"5259-5271","suppress-author":false,"title":"PRC2-Mediated Transcriptomic Alterations at the Embryonic Stage Govern Tumorigenesis and Clinical Outcome in MYCN-Driven Neuroblastoma.","type":"article-journal","volume":"77"},{"First":false,"Last":false,"author":[{"family":"Chen","given":"Liying"},{"family":"Alexe","given":"Gabriela"},{"family":"Dharia","given":"Neekesh V."},{"family":"Ross","given":"Linda"},{"family":"Iniguez","given":"Amanda Balboni"},{"family":"Conway","given":"Amy Saur"},{"family":"Wang","given":"Emily Jue"},{"family":"Veschi","given":"Veronica"},{"family":"Lam","given":"Norris"},{"family":"Qi","given":"Jun"},{"family":"Gustafson","given":"W. Clay"},{"family":"Nasholm","given":"Nicole"},{"family":"Vazquez","given":"Francisca"},{"family":"Weir","given":"Barbara A."},{"family":"Cowley","given":"Glenn S."},{"family":"Ali","given":"Levi D."},{"family":"Pantel","given":"Sasha"},{"family":"Jiang","given":"Guozhi"},{"family":"Harrington","given":"William F."},{"family":"Lee","given":"Yenarae"},{"family":"Goodale","given":"Amy"},{"family":"Lubonja","given":"Rakela"},{"family":"Krill-Burger","given":"John M."},{"family":"Meyers","given":"Robin M."},{"family":"Tsherniak","given":"Aviad"},{"family":"Root","given":"David E."},{"family":"Bradner","given":"James E."},{"family":"Golub","given":"Todd R."},{"family":"Roberts","given":"Charles W.M."},{"family":"Hahn","given":"William C."},{"family":"Weiss","given":"William A."},{"family":"Thiele","given":"Carol J."},{"family":"Stegmaier","given":"Kimberly"}],"authorYearDisplayFormat":false,"citation-label":"10745180","container-title":"The Journal of Clinical Investigation","container-title-short":"The Journal of Clinical Investigation","id":"10745180","invisible":false,"issued":{"date-parts":[["2018","1","2"]]},"journalAbbreviation":"The Journal of Clinical Investigation","suppress-author":false,"title":"CRISPR-Cas9 screen reveals a &lt;i&gt;MYCN&lt;/i&gt;-amplified neuroblastoma dependency on EZH2","type":"article-journal"}]</w:instrText>
      </w:r>
      <w:r w:rsidRPr="00D43831">
        <w:rPr>
          <w:color w:val="auto"/>
        </w:rPr>
        <w:fldChar w:fldCharType="separate"/>
      </w:r>
      <w:r w:rsidR="00D35CCC" w:rsidRPr="00D43831">
        <w:rPr>
          <w:noProof/>
          <w:color w:val="auto"/>
          <w:vertAlign w:val="superscript"/>
        </w:rPr>
        <w:t>18–20</w:t>
      </w:r>
      <w:r w:rsidRPr="00D43831">
        <w:rPr>
          <w:color w:val="auto"/>
        </w:rPr>
        <w:fldChar w:fldCharType="end"/>
      </w:r>
      <w:r w:rsidRPr="00D43831">
        <w:rPr>
          <w:color w:val="auto"/>
        </w:rPr>
        <w:t xml:space="preserve">, this data supports recent evidence of a PRC2 signature independent of </w:t>
      </w:r>
      <w:r w:rsidRPr="00D43831">
        <w:rPr>
          <w:i/>
          <w:iCs/>
          <w:color w:val="auto"/>
        </w:rPr>
        <w:t>MYCN</w:t>
      </w:r>
      <w:r w:rsidRPr="00D43831">
        <w:rPr>
          <w:color w:val="auto"/>
        </w:rPr>
        <w:t xml:space="preserve"> amplification in high-risk neuroblastoma</w:t>
      </w:r>
      <w:r w:rsidRPr="00D43831">
        <w:rPr>
          <w:color w:val="auto"/>
        </w:rPr>
        <w:fldChar w:fldCharType="begin"/>
      </w:r>
      <w:r w:rsidR="00D35CCC" w:rsidRPr="00D43831">
        <w:rPr>
          <w:color w:val="auto"/>
        </w:rPr>
        <w:instrText>ADDIN F1000_CSL_CITATION&lt;~#@#~&gt;[{"DOI":"10.1186/s12918-017-0466-5","First":false,"Last":false,"PMCID":"PMC5629556","PMID":"28984200","abstract":"&lt;strong&gt;BACKGROUND:&lt;/strong&gt; Previous studies suggested that cancer cells possess traits reminiscent of the biological mechanisms ascribed to normal embryonic stem cells (ESCs) regulated by MYC and Polycomb repressive complex 2 (PRC2). Several poorly differentiated adult tumors showed preferentially high expression levels in targets of MYC, coincident with low expression levels in targets of PRC2. This paper will reveal this ESC-like cancer signature in high-risk neuroblastoma (HR-NB), the most common extracranial solid tumor in children.&lt;br&gt;&lt;br&gt;&lt;strong&gt;METHODS:&lt;/strong&gt; We systematically assembled genomic variants, gene expression changes, priori knowledge of gene functions, and clinical outcomes to identify prognostic multigene signatures. First, we assigned a new, individualized prognostic index using the relative expressions between the poor- and good-outcome signature genes. We then characterized HR-NB aggressiveness beyond these prognostic multigene signatures through the imbalanced effects of MYC and PRC2 signaling. We further analyzed Retinoic acid (RA)-induced HR-NB cells to model tumor cell differentiation. Finally, we performed in vitro validation on ZFHX3, a cell differentiation marker silenced by PRC2, and compared cell morphology changes before and after blocking PRC2 in HR-NB cells.&lt;br&gt;&lt;br&gt;&lt;strong&gt;RESULTS:&lt;/strong&gt; A significant concurrence existed between exons with verified variants and genes showing MYCN-dependent expression in HR-NB. From these biomarker candidates, we identified two novel prognostic gene-set pairs with multi-scale oncogenic defects. Intriguingly, MYC targets over-represented an unfavorable component of the identified prognostic signatures while PRC2 targets over-represented a favorable component. The cell cycle arrest and neuronal differentiation marker ZFHX3 was identified as one of PRC2-silenced tumor suppressor candidates. Blocking PRC2 reduced tumor cell growth and increased the mRNA expression levels of ZFHX3 in an early treatment stage. This hypothesis-driven systems bioinformatics work offered novel insights into the PRC2-mediated tumor cell growth and differentiation in neuroblastoma, which may exert oncogenic effects together with MYC regulation.&lt;br&gt;&lt;br&gt;&lt;strong&gt;CONCLUSION:&lt;/strong&gt; Our results propose a prognostic effect of imbalanced MYC and PRC2 moderations in pediatric HR-NB for the first time. This study demonstrates an incorporation of genomic landscapes and transcriptomic profiles into the hypothesis-driven precision prognosis and biomarker discovery. The application of this approach to neuroblastoma, as well as other cancer more broadly, could contribute to reduced relapse and mortality rates in the long term.","author":[{"family":"Yang","given":"Xinan Holly"},{"family":"Tang","given":"Fangming"},{"family":"Shin","given":"Jisu"},{"family":"Cunningham","given":"John M"}],"authorYearDisplayFormat":false,"citation-label":"10745190","container-title":"BMC Systems Biology","container-title-short":"BMC Syst. Biol.","id":"10745190","invisible":false,"issue":"Suppl 5","issued":{"date-parts":[["2017","10","3"]]},"journalAbbreviation":"BMC Syst. Biol.","page":"92","suppress-author":false,"title":"Incorporating genomic, transcriptomic and clinical data: a prognostic and stem cell-like MYC and PRC imbalance in high-risk neuroblastoma.","type":"article-journal","volume":"11"}]</w:instrText>
      </w:r>
      <w:r w:rsidRPr="00D43831">
        <w:rPr>
          <w:color w:val="auto"/>
        </w:rPr>
        <w:fldChar w:fldCharType="separate"/>
      </w:r>
      <w:r w:rsidR="00D35CCC" w:rsidRPr="00D43831">
        <w:rPr>
          <w:noProof/>
          <w:color w:val="auto"/>
          <w:vertAlign w:val="superscript"/>
        </w:rPr>
        <w:t>21</w:t>
      </w:r>
      <w:r w:rsidRPr="00D43831">
        <w:rPr>
          <w:color w:val="auto"/>
        </w:rPr>
        <w:fldChar w:fldCharType="end"/>
      </w:r>
      <w:r w:rsidRPr="00D43831">
        <w:rPr>
          <w:color w:val="auto"/>
        </w:rPr>
        <w:t>.</w:t>
      </w:r>
    </w:p>
    <w:p w14:paraId="23DC341E" w14:textId="2900299F" w:rsidR="00AE5A14" w:rsidRPr="00D43831" w:rsidRDefault="32EC528B" w:rsidP="32EC528B">
      <w:pPr>
        <w:spacing w:before="100" w:beforeAutospacing="1" w:after="100" w:afterAutospacing="1" w:line="240" w:lineRule="auto"/>
        <w:ind w:right="0" w:firstLine="0"/>
        <w:rPr>
          <w:color w:val="auto"/>
        </w:rPr>
      </w:pPr>
      <w:r w:rsidRPr="00D43831">
        <w:rPr>
          <w:color w:val="auto"/>
        </w:rPr>
        <w:t xml:space="preserve">Both </w:t>
      </w:r>
      <w:r w:rsidRPr="00D43831">
        <w:rPr>
          <w:b/>
          <w:bCs/>
          <w:color w:val="auto"/>
        </w:rPr>
        <w:t>T064 NEBLA MYCN</w:t>
      </w:r>
      <w:r w:rsidRPr="00D43831">
        <w:rPr>
          <w:color w:val="auto"/>
        </w:rPr>
        <w:t xml:space="preserve"> and </w:t>
      </w:r>
      <w:r w:rsidRPr="00D43831">
        <w:rPr>
          <w:b/>
          <w:bCs/>
          <w:color w:val="auto"/>
        </w:rPr>
        <w:t xml:space="preserve">T065 </w:t>
      </w:r>
      <w:r w:rsidR="00003054">
        <w:rPr>
          <w:b/>
          <w:bCs/>
          <w:color w:val="auto"/>
        </w:rPr>
        <w:t>NEBLA ADR TERT</w:t>
      </w:r>
      <w:r w:rsidRPr="00D43831">
        <w:rPr>
          <w:color w:val="auto"/>
        </w:rPr>
        <w:t xml:space="preserve"> show a characteristic enrichment of COSMIC signature 18 gene set (KW adj. p-val ≤ 4.87e-12)</w:t>
      </w:r>
      <w:r w:rsidR="00AE5A14" w:rsidRPr="00D43831">
        <w:rPr>
          <w:color w:val="auto"/>
        </w:rPr>
        <w:fldChar w:fldCharType="begin"/>
      </w:r>
      <w:r w:rsidR="00AE5A14" w:rsidRPr="00D43831">
        <w:rPr>
          <w:color w:val="auto"/>
        </w:rPr>
        <w:instrText>ADDIN F1000_CSL_CITATION&lt;~#@#~&gt;[{"DOI":"10.1038/s41467-020-18987-4","First":false,"Last":false,"PMCID":"PMC7560655","PMID":"33056981","abstract":"Neuroblastoma is a pediatric malignancy with heterogeneous clinical outcomes. To better understand neuroblastoma pathogenesis, here we analyze whole-genome, whole-exome and/or transcriptome data from 702 neuroblastoma samples. Forty percent of samples harbor at least one recurrent driver gene alteration and most aberrations, including MYCN, ATRX, and TERT alterations, differ in frequency by age. MYCN alterations occur at median 2.3 years of age, TERT at 3.8 years, and ATRX at 5.6 years. COSMIC mutational signature 18, previously associated with reactive oxygen species, is the most common cause of driver point mutations in neuroblastoma, including most ALK and Ras-activating variants. Signature 18 appears early and is continuous throughout disease evolution. Signature 18 is enriched in neuroblastomas with MYCN amplification, 17q gain, and increased expression of mitochondrial ribosome and electron transport-associated genes. Recurrent FGFR1 variants in six patients, and ALK N-terminal structural alterations in five samples, identify additional patients potentially amenable to precision therapy.","author":[{"family":"Brady","given":"Samuel W"},{"family":"Liu","given":"Yanling"},{"family":"Ma","given":"Xiaotu"},{"family":"Gout","given":"Alexander M"},{"family":"Hagiwara","given":"Kohei"},{"family":"Zhou","given":"Xin"},{"family":"Wang","given":"Jian"},{"family":"Macias","given":"Michael"},{"family":"Chen","given":"Xiaolong"},{"family":"Easton","given":"John"},{"family":"Mulder","given":"Heather L"},{"family":"Rusch","given":"Michael"},{"family":"Wang","given":"Lu"},{"family":"Nakitandwe","given":"Joy"},{"family":"Lei","given":"Shaohua"},{"family":"Davis","given":"Eric M"},{"family":"Naranjo","given":"Arlene"},{"family":"Cheng","given":"Cheng"},{"family":"Maris","given":"John M"},{"family":"Downing","given":"James R"},{"family":"Cheung","given":"Nai-Kong V"},{"family":"Hogarty","given":"Michael D"},{"family":"Dyer","given":"Michael A"},{"family":"Zhang","given":"Jinghui"}],"authorYearDisplayFormat":false,"citation-label":"9924400","container-title":"Nature Communications","container-title-short":"Nat. Commun.","id":"9924400","invisible":false,"issue":"1","issued":{"date-parts":[["2020","10","14"]]},"journalAbbreviation":"Nat. Commun.","page":"5183","suppress-author":false,"title":"Pan-neuroblastoma analysis reveals age- and signature-associated driver alterations.","type":"article-journal","volume":"11"}]</w:instrText>
      </w:r>
      <w:r w:rsidR="00AE5A14" w:rsidRPr="00D43831">
        <w:rPr>
          <w:color w:val="auto"/>
        </w:rPr>
        <w:fldChar w:fldCharType="separate"/>
      </w:r>
      <w:r w:rsidRPr="00D43831">
        <w:rPr>
          <w:noProof/>
          <w:color w:val="auto"/>
          <w:vertAlign w:val="superscript"/>
        </w:rPr>
        <w:t>22</w:t>
      </w:r>
      <w:r w:rsidR="00AE5A14" w:rsidRPr="00D43831">
        <w:rPr>
          <w:color w:val="auto"/>
        </w:rPr>
        <w:fldChar w:fldCharType="end"/>
      </w:r>
      <w:r w:rsidRPr="00D43831">
        <w:rPr>
          <w:color w:val="auto"/>
        </w:rPr>
        <w:t xml:space="preserve">, associated with reactive oxygen species, when compared to </w:t>
      </w:r>
      <w:r w:rsidRPr="00D43831">
        <w:rPr>
          <w:b/>
          <w:bCs/>
          <w:color w:val="auto"/>
        </w:rPr>
        <w:t xml:space="preserve">T061 </w:t>
      </w:r>
      <w:r w:rsidRPr="00D43831">
        <w:rPr>
          <w:color w:val="auto"/>
        </w:rPr>
        <w:t xml:space="preserve">and </w:t>
      </w:r>
      <w:r w:rsidRPr="00D43831">
        <w:rPr>
          <w:b/>
          <w:bCs/>
          <w:color w:val="auto"/>
        </w:rPr>
        <w:t xml:space="preserve">T062 </w:t>
      </w:r>
      <w:r w:rsidRPr="00D43831">
        <w:rPr>
          <w:color w:val="auto"/>
          <w:lang w:bidi="he-IL"/>
        </w:rPr>
        <w:t>(</w:t>
      </w:r>
      <w:r w:rsidR="00D43831" w:rsidRPr="00D43831">
        <w:rPr>
          <w:color w:val="auto"/>
          <w:lang w:bidi="he-IL"/>
        </w:rPr>
        <w:t>Fig. S</w:t>
      </w:r>
      <w:r w:rsidRPr="00D43831">
        <w:rPr>
          <w:color w:val="auto"/>
          <w:lang w:bidi="he-IL"/>
        </w:rPr>
        <w:t>22a)</w:t>
      </w:r>
      <w:r w:rsidRPr="00D43831">
        <w:rPr>
          <w:b/>
          <w:bCs/>
          <w:color w:val="auto"/>
        </w:rPr>
        <w:t>.</w:t>
      </w:r>
      <w:r w:rsidRPr="00D43831">
        <w:rPr>
          <w:color w:val="auto"/>
        </w:rPr>
        <w:t xml:space="preserve"> This signature has been suggested to be causative of point mutations in neuroblastoma and has been associated with </w:t>
      </w:r>
      <w:r w:rsidRPr="00D43831">
        <w:rPr>
          <w:i/>
          <w:iCs/>
          <w:color w:val="auto"/>
        </w:rPr>
        <w:t>MYCN</w:t>
      </w:r>
      <w:r w:rsidRPr="00D43831">
        <w:rPr>
          <w:color w:val="auto"/>
        </w:rPr>
        <w:t xml:space="preserve"> amplification, and increased expression of electron-transport, ribosomal, and mitochondrial genes. The latter, in particular, follows from a 17q gain, a prognostic marker for poor outcome</w:t>
      </w:r>
      <w:r w:rsidR="00AE5A14" w:rsidRPr="00D43831">
        <w:rPr>
          <w:color w:val="auto"/>
        </w:rPr>
        <w:fldChar w:fldCharType="begin"/>
      </w:r>
      <w:r w:rsidR="00AE5A14" w:rsidRPr="00D43831">
        <w:rPr>
          <w:color w:val="auto"/>
        </w:rPr>
        <w:instrText>ADDIN F1000_CSL_CITATION&lt;~#@#~&gt;[{"DOI":"10.1038/s41467-020-18987-4","First":false,"Last":false,"PMCID":"PMC7560655","PMID":"33056981","abstract":"Neuroblastoma is a pediatric malignancy with heterogeneous clinical outcomes. To better understand neuroblastoma pathogenesis, here we analyze whole-genome, whole-exome and/or transcriptome data from 702 neuroblastoma samples. Forty percent of samples harbor at least one recurrent driver gene alteration and most aberrations, including MYCN, ATRX, and TERT alterations, differ in frequency by age. MYCN alterations occur at median 2.3 years of age, TERT at 3.8 years, and ATRX at 5.6 years. COSMIC mutational signature 18, previously associated with reactive oxygen species, is the most common cause of driver point mutations in neuroblastoma, including most ALK and Ras-activating variants. Signature 18 appears early and is continuous throughout disease evolution. Signature 18 is enriched in neuroblastomas with MYCN amplification, 17q gain, and increased expression of mitochondrial ribosome and electron transport-associated genes. Recurrent FGFR1 variants in six patients, and ALK N-terminal structural alterations in five samples, identify additional patients potentially amenable to precision therapy.","author":[{"family":"Brady","given":"Samuel W"},{"family":"Liu","given":"Yanling"},{"family":"Ma","given":"Xiaotu"},{"family":"Gout","given":"Alexander M"},{"family":"Hagiwara","given":"Kohei"},{"family":"Zhou","given":"Xin"},{"family":"Wang","given":"Jian"},{"family":"Macias","given":"Michael"},{"family":"Chen","given":"Xiaolong"},{"family":"Easton","given":"John"},{"family":"Mulder","given":"Heather L"},{"family":"Rusch","given":"Michael"},{"family":"Wang","given":"Lu"},{"family":"Nakitandwe","given":"Joy"},{"family":"Lei","given":"Shaohua"},{"family":"Davis","given":"Eric M"},{"family":"Naranjo","given":"Arlene"},{"family":"Cheng","given":"Cheng"},{"family":"Maris","given":"John M"},{"family":"Downing","given":"James R"},{"family":"Cheung","given":"Nai-Kong V"},{"family":"Hogarty","given":"Michael D"},{"family":"Dyer","given":"Michael A"},{"family":"Zhang","given":"Jinghui"}],"authorYearDisplayFormat":false,"citation-label":"9924400","container-title":"Nature Communications","container-title-short":"Nat. Commun.","id":"9924400","invisible":false,"issue":"1","issued":{"date-parts":[["2020","10","14"]]},"journalAbbreviation":"Nat. Commun.","page":"5183","suppress-author":false,"title":"Pan-neuroblastoma analysis reveals age- and signature-associated driver alterations.","type":"article-journal","volume":"11"},{"DOI":"10.1016/j.cell.2019.03.001","First":false,"Last":false,"PMCID":"PMC6506336","PMID":"30982602","abstract":"Whole-genome-sequencing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ABSTRACT.&lt;br&gt;&lt;br&gt;Copyright © 2019 The Author(s). Published by Elsevier Inc. All rights reserved.","author":[{"family":"Kucab","given":"Jill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authorYearDisplayFormat":false,"citation-label":"6791748","container-title":"Cell","container-title-short":"Cell","id":"6791748","invisible":false,"issue":"4","issued":{"date-parts":[["2019","5","2"]]},"journalAbbreviation":"Cell","page":"821-836.e16","suppress-author":false,"title":"A compendium of mutational signatures of environmental agents.","type":"article-journal","volume":"177"}]</w:instrText>
      </w:r>
      <w:r w:rsidR="00AE5A14" w:rsidRPr="00D43831">
        <w:rPr>
          <w:color w:val="auto"/>
        </w:rPr>
        <w:fldChar w:fldCharType="separate"/>
      </w:r>
      <w:r w:rsidRPr="00D43831">
        <w:rPr>
          <w:noProof/>
          <w:color w:val="auto"/>
          <w:vertAlign w:val="superscript"/>
        </w:rPr>
        <w:t>22,23</w:t>
      </w:r>
      <w:r w:rsidR="00AE5A14" w:rsidRPr="00D43831">
        <w:rPr>
          <w:color w:val="auto"/>
        </w:rPr>
        <w:fldChar w:fldCharType="end"/>
      </w:r>
      <w:r w:rsidRPr="00D43831">
        <w:rPr>
          <w:color w:val="auto"/>
        </w:rPr>
        <w:t xml:space="preserve">. We observe significant enrichment of chromosome 17q gene sets in </w:t>
      </w:r>
      <w:r w:rsidRPr="00D43831">
        <w:rPr>
          <w:b/>
          <w:bCs/>
          <w:color w:val="auto"/>
        </w:rPr>
        <w:t xml:space="preserve">T065 </w:t>
      </w:r>
      <w:r w:rsidR="00003054">
        <w:rPr>
          <w:b/>
          <w:bCs/>
          <w:color w:val="auto"/>
        </w:rPr>
        <w:t>NEBLA ADR TERT</w:t>
      </w:r>
      <w:r w:rsidRPr="00D43831">
        <w:rPr>
          <w:color w:val="auto"/>
        </w:rPr>
        <w:t xml:space="preserve"> (medNES ≥ 1.20, KW adj p-val ≤ 5.86e-04)</w:t>
      </w:r>
      <w:r w:rsidR="00AE5A14" w:rsidRPr="00D43831">
        <w:rPr>
          <w:color w:val="auto"/>
        </w:rPr>
        <w:fldChar w:fldCharType="begin"/>
      </w:r>
      <w:r w:rsidR="00AE5A14" w:rsidRPr="00D43831">
        <w:rPr>
          <w:color w:val="auto"/>
        </w:rPr>
        <w:instrText>ADDIN F1000_CSL_CITATION&lt;~#@#~&gt;[{"DOI":"10.1093/nar/gkz966","First":false,"Last":false,"PMCID":"PMC7145704","PMID":"31691826","abstract":"The Ensembl (https://www.ensembl.org) is a system for generating and distributing genome annotation such as genes, variation, regulation and comparative genomics across the vertebrate subphylum and key model organisms. The Ensembl annotation pipeline is capable of integrating experimental and reference data from multiple providers into a single integrated resource. Here, we present 94 newly annotated and re-annotated genomes, bringing the total number of genomes offered by Ensembl to 227. This represents the single largest expansion of the resource since its inception. We also detail our continued efforts to improve human annotation, developments in our epigenome analysis and display, a new tool for imputing causal genes from genome-wide association studies and visualisation of variation within a 3D protein model. Finally, we present information on our new website. Both software and data are made available without restriction via our website, online tools platform and programmatic interfaces (available under an Apache 2.0 license) and data updates made available four times a year.&lt;br&gt;&lt;br&gt;© The Author(s) 2019. Published by Oxford University Press on behalf of Nucleic Acids Research.","author":[{"family":"Yates","given":"Andrew D"},{"family":"Achuthan","given":"Premanand"},{"family":"Akanni","given":"Wasiu"},{"family":"Allen","given":"James"},{"family":"Allen","given":"Jamie"},{"family":"Alvarez-Jarreta","given":"Jorge"},{"family":"Amode","given":"M Ridwan"},{"family":"Armean","given":"Irina M"},{"family":"Azov","given":"Andrey G"},{"family":"Bennett","given":"Ruth"},{"family":"Bhai","given":"Jyothish"},{"family":"Billis","given":"Konstantinos"},{"family":"Boddu","given":"Sanjay"},{"family":"Marugán","given":"José Carlos"},{"family":"Cummins","given":"Carla"},{"family":"Davidson","given":"Claire"},{"family":"Dodiya","given":"Kamalkumar"},{"family":"Fatima","given":"Reham"},{"family":"Gall","given":"Astrid"},{"family":"Giron","given":"Carlos Garcia"},{"family":"Gil","given":"Laurent"},{"family":"Grego","given":"Tiago"},{"family":"Haggerty","given":"Leanne"},{"family":"Haskell","given":"Erin"},{"family":"Hourlier","given":"Thibaut"},{"family":"Izuogu","given":"Osagie G"},{"family":"Janacek","given":"Sophie H"},{"family":"Juettemann","given":"Thomas"},{"family":"Kay","given":"Mike"},{"family":"Lavidas","given":"Ilias"},{"family":"Le","given":"Tuan"},{"family":"Lemos","given":"Diana"},{"family":"Martinez","given":"Jose Gonzalez"},{"family":"Maurel","given":"Thomas"},{"family":"McDowall","given":"Mark"},{"family":"McMahon","given":"Aoife"},{"family":"Mohanan","given":"Shamika"},{"family":"Moore","given":"Benjamin"},{"family":"Nuhn","given":"Michael"},{"family":"Oheh","given":"Denye N"},{"family":"Parker","given":"Anne"},{"family":"Parton","given":"Andrew"},{"family":"Patricio","given":"Mateus"},{"family":"Sakthivel","given":"Manoj Pandian"},{"family":"Abdul Salam","given":"Ahamed Imran"},{"family":"Schmitt","given":"Bianca M"},{"family":"Schuilenburg","given":"Helen"},{"family":"Sheppard","given":"Dan"},{"family":"Sycheva","given":"Mira"},{"family":"Szuba","given":"Marek"},{"family":"Taylor","given":"Kieron"},{"family":"Thormann","given":"Anja"},{"family":"Threadgold","given":"Glen"},{"family":"Vullo","given":"Alessandro"},{"family":"Walts","given":"Brandon"},{"family":"Winterbottom","given":"Andrea"},{"family":"Zadissa","given":"Amonida"},{"family":"Chakiachvili","given":"Marc"},{"family":"Flint","given":"Bethany"},{"family":"Frankish","given":"Adam"},{"family":"Hunt","given":"Sarah E"},{"family":"IIsley","given":"Garth"},{"family":"Kostadima","given":"Myrto"},{"family":"Langridge","given":"Nick"},{"family":"Loveland","given":"Jane E"},{"family":"Martin","given":"Fergal J"},{"family":"Morales","given":"Joannella"},{"family":"Mudge","given":"Jonathan M"},{"family":"Muffato","given":"Matthieu"},{"family":"Perry","given":"Emily"},{"family":"Ruffier","given":"Magali"},{"family":"Trevanion","given":"Stephen J"},{"family":"Cunningham","given":"Fiona"},{"family":"Howe","given":"Kevin L"},{"family":"Zerbino","given":"Daniel R"},{"family":"Flicek","given":"Paul"}],"authorYearDisplayFormat":false,"citation-label":"7763981","container-title":"Nucleic Acids Research","container-title-short":"Nucleic Acids Res.","id":"7763981","invisible":false,"issue":"D1","issued":{"date-parts":[["2020","1","8"]]},"journalAbbreviation":"Nucleic Acids Res.","page":"D682-D688","suppress-author":false,"title":"Ensembl 2020.","type":"article-journal","volume":"48"}]</w:instrText>
      </w:r>
      <w:r w:rsidR="00AE5A14" w:rsidRPr="00D43831">
        <w:rPr>
          <w:color w:val="auto"/>
        </w:rPr>
        <w:fldChar w:fldCharType="separate"/>
      </w:r>
      <w:r w:rsidRPr="00D43831">
        <w:rPr>
          <w:noProof/>
          <w:color w:val="auto"/>
          <w:vertAlign w:val="superscript"/>
        </w:rPr>
        <w:t>24</w:t>
      </w:r>
      <w:r w:rsidR="00AE5A14" w:rsidRPr="00D43831">
        <w:rPr>
          <w:color w:val="auto"/>
        </w:rPr>
        <w:fldChar w:fldCharType="end"/>
      </w:r>
      <w:r w:rsidRPr="00D43831">
        <w:rPr>
          <w:color w:val="auto"/>
        </w:rPr>
        <w:t xml:space="preserve">. Partial loss of 11q (q21-25), associated with </w:t>
      </w:r>
      <w:r w:rsidRPr="00D43831">
        <w:rPr>
          <w:i/>
          <w:iCs/>
          <w:color w:val="auto"/>
        </w:rPr>
        <w:t>TERT</w:t>
      </w:r>
      <w:r w:rsidRPr="00D43831">
        <w:rPr>
          <w:color w:val="auto"/>
        </w:rPr>
        <w:t xml:space="preserve"> rearrangements in literature</w:t>
      </w:r>
      <w:r w:rsidR="00AE5A14" w:rsidRPr="00D43831">
        <w:rPr>
          <w:color w:val="auto"/>
        </w:rPr>
        <w:fldChar w:fldCharType="begin"/>
      </w:r>
      <w:r w:rsidR="00AE5A14" w:rsidRPr="00D43831">
        <w:rPr>
          <w:color w:val="auto"/>
        </w:rPr>
        <w:instrText>ADDIN F1000_CSL_CITATION&lt;~#@#~&gt;[{"DOI":"10.1200/PO.19.00072","First":false,"Last":false,"author":[{"family":"Roderwieser","given":"Andrea"},{"family":"Sand","given":"Frederik"},{"family":"Walter","given":"Esther"},{"family":"Fischer","given":"Janina"},{"family":"Gecht","given":"Judith"},{"family":"Bartenhagen","given":"Christoph"},{"family":"Ackermann","given":"Sandra"},{"family":"Otte","given":"Felix"},{"family":"Welte","given":"Anne"},{"family":"Kahlert","given":"Yvonne"},{"family":"Lieberz","given":"Daniela"},{"family":"Hertwig","given":"Falk"},{"family":"Reinhardt","given":"H. Christian"},{"family":"Simon","given":"Thorsten"},{"family":"Peifer","given":"Martin"},{"family":"Ortmann","given":"Monika"},{"family":"Büttner","given":"Reinhard"},{"family":"Hero","given":"Barbara"},{"family":"O’Sullivan","given":"Roderick J."},{"family":"Berthold","given":"Frank"},{"family":"Fischer","given":"Matthias"}],"authorYearDisplayFormat":false,"citation-label":"10745078","container-title":"JCO precision oncology","container-title-short":"JCO Precis. Oncol.","id":"10745078","invisible":false,"issue":"3","issued":{"date-parts":[["2019","9"]]},"journalAbbreviation":"JCO Precis. Oncol.","page":"1-20","suppress-author":false,"title":"Telomerase is a prognostic marker of poor outcome and a therapeutic target in neuroblastoma","type":"article-journal"}]</w:instrText>
      </w:r>
      <w:r w:rsidR="00AE5A14" w:rsidRPr="00D43831">
        <w:rPr>
          <w:color w:val="auto"/>
        </w:rPr>
        <w:fldChar w:fldCharType="separate"/>
      </w:r>
      <w:r w:rsidRPr="00D43831">
        <w:rPr>
          <w:noProof/>
          <w:color w:val="auto"/>
          <w:vertAlign w:val="superscript"/>
        </w:rPr>
        <w:t>25</w:t>
      </w:r>
      <w:r w:rsidR="00AE5A14" w:rsidRPr="00D43831">
        <w:rPr>
          <w:color w:val="auto"/>
        </w:rPr>
        <w:fldChar w:fldCharType="end"/>
      </w:r>
      <w:r w:rsidRPr="00D43831">
        <w:rPr>
          <w:color w:val="auto"/>
        </w:rPr>
        <w:t xml:space="preserve">, is also present in </w:t>
      </w:r>
      <w:r w:rsidRPr="00D43831">
        <w:rPr>
          <w:b/>
          <w:bCs/>
          <w:color w:val="auto"/>
        </w:rPr>
        <w:t xml:space="preserve">T065 </w:t>
      </w:r>
      <w:r w:rsidRPr="00D43831">
        <w:rPr>
          <w:color w:val="auto"/>
        </w:rPr>
        <w:t xml:space="preserve">(medNES ≤ 6.56e-01, KW p-val ≤ 1.03e-05). </w:t>
      </w:r>
    </w:p>
    <w:p w14:paraId="51C81EEA" w14:textId="1C414CC4" w:rsidR="00AE5A14" w:rsidRPr="00D43831" w:rsidRDefault="00AE5A14" w:rsidP="3489DCB5">
      <w:pPr>
        <w:spacing w:before="100" w:beforeAutospacing="1" w:after="100" w:afterAutospacing="1" w:line="240" w:lineRule="auto"/>
        <w:ind w:right="0" w:firstLine="0"/>
        <w:rPr>
          <w:color w:val="auto"/>
        </w:rPr>
      </w:pPr>
      <w:r w:rsidRPr="00D43831">
        <w:rPr>
          <w:color w:val="auto"/>
        </w:rPr>
        <w:t xml:space="preserve">Our data support the existence of two major phenotypes with </w:t>
      </w:r>
      <w:r w:rsidR="00B61E0B" w:rsidRPr="00D43831">
        <w:rPr>
          <w:color w:val="auto"/>
        </w:rPr>
        <w:t xml:space="preserve">very </w:t>
      </w:r>
      <w:r w:rsidRPr="00D43831">
        <w:rPr>
          <w:color w:val="auto"/>
        </w:rPr>
        <w:t xml:space="preserve">poor outcome in canonically high-risk neuroblastoma, one driven by </w:t>
      </w:r>
      <w:r w:rsidR="00960F71" w:rsidRPr="00D43831">
        <w:rPr>
          <w:i/>
          <w:iCs/>
          <w:color w:val="auto"/>
        </w:rPr>
        <w:t>MYC</w:t>
      </w:r>
      <w:r w:rsidRPr="00D43831">
        <w:rPr>
          <w:i/>
          <w:iCs/>
          <w:color w:val="auto"/>
        </w:rPr>
        <w:t>N</w:t>
      </w:r>
      <w:r w:rsidRPr="00D43831">
        <w:rPr>
          <w:color w:val="auto"/>
        </w:rPr>
        <w:t xml:space="preserve"> activation, the other by </w:t>
      </w:r>
      <w:r w:rsidR="00960F71" w:rsidRPr="00D43831">
        <w:rPr>
          <w:i/>
          <w:iCs/>
          <w:color w:val="auto"/>
        </w:rPr>
        <w:t>TERT</w:t>
      </w:r>
      <w:r w:rsidRPr="00D43831">
        <w:rPr>
          <w:color w:val="auto"/>
        </w:rPr>
        <w:t xml:space="preserve"> activation independent of </w:t>
      </w:r>
      <w:r w:rsidR="00960F71" w:rsidRPr="00D43831">
        <w:rPr>
          <w:i/>
          <w:iCs/>
          <w:color w:val="auto"/>
        </w:rPr>
        <w:t>MYC</w:t>
      </w:r>
      <w:r w:rsidRPr="00D43831">
        <w:rPr>
          <w:i/>
          <w:iCs/>
          <w:color w:val="auto"/>
        </w:rPr>
        <w:t>N</w:t>
      </w:r>
      <w:r w:rsidRPr="00D43831">
        <w:rPr>
          <w:color w:val="auto"/>
        </w:rPr>
        <w:t xml:space="preserve">. While genomic rearrangements </w:t>
      </w:r>
      <w:r w:rsidR="004E048C" w:rsidRPr="00D43831">
        <w:rPr>
          <w:color w:val="auto"/>
        </w:rPr>
        <w:t xml:space="preserve">for samples </w:t>
      </w:r>
      <w:r w:rsidRPr="00D43831">
        <w:rPr>
          <w:color w:val="auto"/>
        </w:rPr>
        <w:t xml:space="preserve">in </w:t>
      </w:r>
      <w:r w:rsidRPr="00D43831">
        <w:rPr>
          <w:b/>
          <w:bCs/>
          <w:color w:val="auto"/>
        </w:rPr>
        <w:t xml:space="preserve">T065 </w:t>
      </w:r>
      <w:r w:rsidRPr="00D43831">
        <w:rPr>
          <w:color w:val="auto"/>
        </w:rPr>
        <w:t xml:space="preserve">were not reported, neuroblastomas lacking genomic </w:t>
      </w:r>
      <w:r w:rsidRPr="00D43831">
        <w:rPr>
          <w:color w:val="auto"/>
        </w:rPr>
        <w:lastRenderedPageBreak/>
        <w:t xml:space="preserve">rearrangements at the </w:t>
      </w:r>
      <w:r w:rsidR="00960F71" w:rsidRPr="00D43831">
        <w:rPr>
          <w:i/>
          <w:iCs/>
          <w:color w:val="auto"/>
        </w:rPr>
        <w:t>TERT</w:t>
      </w:r>
      <w:r w:rsidRPr="00D43831">
        <w:rPr>
          <w:color w:val="auto"/>
        </w:rPr>
        <w:t xml:space="preserve"> locus, but expressing a </w:t>
      </w:r>
      <w:r w:rsidR="00960F71" w:rsidRPr="00D43831">
        <w:rPr>
          <w:i/>
          <w:iCs/>
          <w:color w:val="auto"/>
        </w:rPr>
        <w:t>TERT</w:t>
      </w:r>
      <w:r w:rsidRPr="00D43831">
        <w:rPr>
          <w:color w:val="auto"/>
        </w:rPr>
        <w:t xml:space="preserve"> high phenotype, have been reported in literature</w:t>
      </w:r>
      <w:r w:rsidRPr="00D43831">
        <w:rPr>
          <w:color w:val="auto"/>
        </w:rPr>
        <w:fldChar w:fldCharType="begin"/>
      </w:r>
      <w:r w:rsidR="00D35CCC" w:rsidRPr="00D43831">
        <w:rPr>
          <w:color w:val="auto"/>
        </w:rPr>
        <w:instrText>ADDIN F1000_CSL_CITATION&lt;~#@#~&gt;[{"DOI":"10.1200/PO.19.00072","First":false,"Last":false,"author":[{"family":"Roderwieser","given":"Andrea"},{"family":"Sand","given":"Frederik"},{"family":"Walter","given":"Esther"},{"family":"Fischer","given":"Janina"},{"family":"Gecht","given":"Judith"},{"family":"Bartenhagen","given":"Christoph"},{"family":"Ackermann","given":"Sandra"},{"family":"Otte","given":"Felix"},{"family":"Welte","given":"Anne"},{"family":"Kahlert","given":"Yvonne"},{"family":"Lieberz","given":"Daniela"},{"family":"Hertwig","given":"Falk"},{"family":"Reinhardt","given":"H. Christian"},{"family":"Simon","given":"Thorsten"},{"family":"Peifer","given":"Martin"},{"family":"Ortmann","given":"Monika"},{"family":"Büttner","given":"Reinhard"},{"family":"Hero","given":"Barbara"},{"family":"O’Sullivan","given":"Roderick J."},{"family":"Berthold","given":"Frank"},{"family":"Fischer","given":"Matthias"}],"authorYearDisplayFormat":false,"citation-label":"10745078","container-title":"JCO precision oncology","container-title-short":"JCO Precis. Oncol.","id":"10745078","invisible":false,"issue":"3","issued":{"date-parts":[["2019","9"]]},"journalAbbreviation":"JCO Precis. Oncol.","page":"1-20","suppress-author":false,"title":"Telomerase is a prognostic marker of poor outcome and a therapeutic target in neuroblastoma","type":"article-journal"},{"DOI":"10.1126/science.aat6768","First":false,"Last":false,"PMCID":"PMC7875194","PMID":"30523111","abstract":"Neuroblastoma is a pediatric tumor of the sympathetic nervous system. Its clinical course ranges from spontaneous tumor regression to fatal progression. To investigate the molecular features of the divergent tumor subtypes, we performed genome sequencing on 416 pretreatment neuroblastomas and assessed telomere maintenance mechanisms in 208 of these tumors. We found that patients whose tumors lacked telomere maintenance mechanisms had an excellent prognosis, whereas the prognosis of patients whose tumors harbored telomere maintenance mechanisms was substantially worse. Survival rates were lowest for neuroblastoma patients whose tumors harbored telomere maintenance mechanisms in combination with RAS and/or p53 pathway mutations. Spontaneous tumor regression occurred both in the presence and absence of these mutations in patients with telomere maintenance-negative tumors. On the basis of these data, we propose a mechanistic classification of neuroblastoma that may benefit the clinical management of patients.&lt;br&gt;&lt;br&gt;Copyright © 2018 The Authors, some rights reserved; exclusive licensee American Association for the Advancement of Science. No claim to original U.S. Government Works.","author":[{"family":"Ackermann","given":"Sandra"},{"family":"Cartolano","given":"Maria"},{"family":"Hero","given":"Barbara"},{"family":"Welte","given":"Anne"},{"family":"Kahlert","given":"Yvonne"},{"family":"Roderwieser","given":"Andrea"},{"family":"Bartenhagen","given":"Christoph"},{"family":"Walter","given":"Esther"},{"family":"Gecht","given":"Judith"},{"family":"Kerschke","given":"Laura"},{"family":"Volland","given":"Ruth"},{"family":"Menon","given":"Roopika"},{"family":"Heuckmann","given":"Johannes M"},{"family":"Gartlgruber","given":"Moritz"},{"family":"Hartlieb","given":"Sabine"},{"family":"Henrich","given":"Kai-Oliver"},{"family":"Okonechnikov","given":"Konstantin"},{"family":"Altmüller","given":"Janine"},{"family":"Nürnberg","given":"Peter"},{"family":"Lefever","given":"Steve"},{"family":"de Wilde","given":"Bram"},{"family":"Sand","given":"Frederik"},{"family":"Ikram","given":"Fakhera"},{"family":"Rosswog","given":"Carolina"},{"family":"Fischer","given":"Janina"},{"family":"Theissen","given":"Jessica"},{"family":"Hertwig","given":"Falk"},{"family":"Singhi","given":"Aatur D"},{"family":"Simon","given":"Thorsten"},{"family":"Vogel","given":"Wenzel"},{"family":"Perner","given":"Sven"},{"family":"Krug","given":"Barbara"},{"family":"Schmidt","given":"Matthias"},{"family":"Rahmann","given":"Sven"},{"family":"Achter","given":"Viktor"},{"family":"Lang","given":"Ulrich"},{"family":"Vokuhl","given":"Christian"},{"family":"Ortmann","given":"Monika"},{"family":"Büttner","given":"Reinhard"},{"family":"Eggert","given":"Angelika"},{"family":"Speleman","given":"Frank"},{"family":"O'Sullivan","given":"Roderick J"},{"family":"Thomas","given":"Roman K"},{"family":"Berthold","given":"Frank"},{"family":"Vandesompele","given":"Jo"},{"family":"Schramm","given":"Alexander"},{"family":"Westermann","given":"Frank"},{"family":"Schulte","given":"Johannes H"},{"family":"Peifer","given":"Martin"},{"family":"Fischer","given":"Matthias"}],"authorYearDisplayFormat":false,"citation-label":"8685657","container-title":"Science","container-title-short":"Science","id":"8685657","invisible":false,"issue":"6419","issued":{"date-parts":[["2018","12","7"]]},"journalAbbreviation":"Science","page":"1165-1170","suppress-author":false,"title":"A mechanistic classification of clinical phenotypes in neuroblastoma.","type":"article-journal","volume":"362"}]</w:instrText>
      </w:r>
      <w:r w:rsidRPr="00D43831">
        <w:rPr>
          <w:color w:val="auto"/>
        </w:rPr>
        <w:fldChar w:fldCharType="separate"/>
      </w:r>
      <w:r w:rsidR="00D35CCC" w:rsidRPr="00D43831">
        <w:rPr>
          <w:noProof/>
          <w:color w:val="auto"/>
          <w:vertAlign w:val="superscript"/>
        </w:rPr>
        <w:t>25,26</w:t>
      </w:r>
      <w:r w:rsidRPr="00D43831">
        <w:rPr>
          <w:color w:val="auto"/>
        </w:rPr>
        <w:fldChar w:fldCharType="end"/>
      </w:r>
      <w:r w:rsidRPr="00D43831">
        <w:rPr>
          <w:color w:val="auto"/>
        </w:rPr>
        <w:t xml:space="preserve">. We speculate </w:t>
      </w:r>
      <w:r w:rsidRPr="00D43831">
        <w:rPr>
          <w:b/>
          <w:bCs/>
          <w:color w:val="auto"/>
        </w:rPr>
        <w:t xml:space="preserve">T065 </w:t>
      </w:r>
      <w:r w:rsidRPr="00D43831">
        <w:rPr>
          <w:color w:val="auto"/>
        </w:rPr>
        <w:t>may</w:t>
      </w:r>
      <w:r w:rsidR="004E048C" w:rsidRPr="00D43831">
        <w:rPr>
          <w:color w:val="auto"/>
        </w:rPr>
        <w:t xml:space="preserve"> also</w:t>
      </w:r>
      <w:r w:rsidRPr="00D43831">
        <w:rPr>
          <w:color w:val="auto"/>
        </w:rPr>
        <w:t xml:space="preserve"> include samples with non-lesional </w:t>
      </w:r>
      <w:r w:rsidR="00960F71" w:rsidRPr="00D43831">
        <w:rPr>
          <w:i/>
          <w:iCs/>
          <w:color w:val="auto"/>
        </w:rPr>
        <w:t>TERT</w:t>
      </w:r>
      <w:r w:rsidRPr="00D43831">
        <w:rPr>
          <w:color w:val="auto"/>
        </w:rPr>
        <w:t xml:space="preserve"> activation,</w:t>
      </w:r>
      <w:r w:rsidR="004E048C" w:rsidRPr="00D43831">
        <w:rPr>
          <w:color w:val="auto"/>
        </w:rPr>
        <w:t xml:space="preserve"> potentially</w:t>
      </w:r>
      <w:r w:rsidRPr="00D43831">
        <w:rPr>
          <w:color w:val="auto"/>
        </w:rPr>
        <w:t xml:space="preserve"> involving gain of 17q and loss of 11q.</w:t>
      </w:r>
    </w:p>
    <w:p w14:paraId="0556E3CF" w14:textId="1E326F6E" w:rsidR="00AE5A14" w:rsidRPr="00D43831" w:rsidRDefault="32EC528B" w:rsidP="32EC528B">
      <w:pPr>
        <w:spacing w:before="100" w:beforeAutospacing="1" w:after="100" w:afterAutospacing="1" w:line="240" w:lineRule="auto"/>
        <w:ind w:right="0" w:firstLine="0"/>
        <w:rPr>
          <w:color w:val="auto"/>
        </w:rPr>
      </w:pPr>
      <w:r w:rsidRPr="00D43831">
        <w:rPr>
          <w:color w:val="auto"/>
        </w:rPr>
        <w:t xml:space="preserve">The four neuroblastoma classes also show a significant segregation of samples by ploidy level. </w:t>
      </w:r>
      <w:r w:rsidRPr="00D43831">
        <w:rPr>
          <w:b/>
          <w:bCs/>
          <w:color w:val="auto"/>
        </w:rPr>
        <w:t xml:space="preserve">T063 </w:t>
      </w:r>
      <w:r w:rsidRPr="00D43831">
        <w:rPr>
          <w:color w:val="auto"/>
        </w:rPr>
        <w:t xml:space="preserve">contains most hyperdiploid </w:t>
      </w:r>
      <w:r w:rsidR="00F05352">
        <w:rPr>
          <w:color w:val="auto"/>
        </w:rPr>
        <w:t>tumor</w:t>
      </w:r>
      <w:r w:rsidRPr="00D43831">
        <w:rPr>
          <w:color w:val="auto"/>
        </w:rPr>
        <w:t xml:space="preserve">s (34/46, </w:t>
      </w:r>
      <w:r w:rsidRPr="00D43831">
        <w:rPr>
          <w:i/>
          <w:iCs/>
          <w:color w:val="auto"/>
          <w:lang w:val="el-GR" w:bidi="he-IL"/>
        </w:rPr>
        <w:t>χ</w:t>
      </w:r>
      <w:r w:rsidRPr="00D43831">
        <w:rPr>
          <w:color w:val="auto"/>
          <w:vertAlign w:val="superscript"/>
          <w:lang w:bidi="he-IL"/>
        </w:rPr>
        <w:t>2</w:t>
      </w:r>
      <w:r w:rsidRPr="00D43831">
        <w:rPr>
          <w:color w:val="auto"/>
        </w:rPr>
        <w:t xml:space="preserve"> p-val = 4.01e-03) and consequently has the highest median ploidy value (1.285, KW adj. p-val = 6.56e-03) (</w:t>
      </w:r>
      <w:r w:rsidR="00D43831" w:rsidRPr="00D43831">
        <w:rPr>
          <w:color w:val="auto"/>
        </w:rPr>
        <w:t>Fig. S</w:t>
      </w:r>
      <w:r w:rsidRPr="00D43831">
        <w:rPr>
          <w:color w:val="auto"/>
        </w:rPr>
        <w:t xml:space="preserve">22b). </w:t>
      </w:r>
      <w:r w:rsidRPr="00D43831">
        <w:rPr>
          <w:b/>
          <w:bCs/>
          <w:color w:val="auto"/>
        </w:rPr>
        <w:t>T062 NEBLA ERBB2</w:t>
      </w:r>
      <w:r w:rsidRPr="00D43831">
        <w:rPr>
          <w:color w:val="auto"/>
        </w:rPr>
        <w:t xml:space="preserve"> and </w:t>
      </w:r>
      <w:r w:rsidRPr="00D43831">
        <w:rPr>
          <w:b/>
          <w:bCs/>
          <w:color w:val="auto"/>
        </w:rPr>
        <w:t>T064 NEBLA MYCN</w:t>
      </w:r>
      <w:r w:rsidRPr="00D43831">
        <w:rPr>
          <w:color w:val="auto"/>
        </w:rPr>
        <w:t xml:space="preserve"> have the lowest median value (1.00 both), with the former having a majority of diploid members (9/12, </w:t>
      </w:r>
      <w:r w:rsidRPr="00D43831">
        <w:rPr>
          <w:i/>
          <w:iCs/>
          <w:color w:val="auto"/>
          <w:lang w:val="el-GR" w:bidi="he-IL"/>
        </w:rPr>
        <w:t>χ</w:t>
      </w:r>
      <w:r w:rsidRPr="00D43831">
        <w:rPr>
          <w:color w:val="auto"/>
          <w:vertAlign w:val="superscript"/>
          <w:lang w:bidi="he-IL"/>
        </w:rPr>
        <w:t>2</w:t>
      </w:r>
      <w:r w:rsidRPr="00D43831">
        <w:rPr>
          <w:color w:val="auto"/>
        </w:rPr>
        <w:t xml:space="preserve"> p-val = 4.01e-03) (</w:t>
      </w:r>
      <w:r w:rsidR="00D43831" w:rsidRPr="00D43831">
        <w:rPr>
          <w:color w:val="auto"/>
        </w:rPr>
        <w:t>Fig. S</w:t>
      </w:r>
      <w:r w:rsidRPr="00D43831">
        <w:rPr>
          <w:color w:val="auto"/>
        </w:rPr>
        <w:t xml:space="preserve">22b). </w:t>
      </w:r>
    </w:p>
    <w:p w14:paraId="716E25C8" w14:textId="0B971BDD" w:rsidR="00AE5A14" w:rsidRPr="00D43831" w:rsidRDefault="32EC528B" w:rsidP="32EC528B">
      <w:pPr>
        <w:spacing w:before="100" w:beforeAutospacing="1" w:after="100" w:afterAutospacing="1" w:line="240" w:lineRule="auto"/>
        <w:ind w:right="0" w:firstLine="0"/>
        <w:rPr>
          <w:color w:val="auto"/>
        </w:rPr>
      </w:pPr>
      <w:r w:rsidRPr="00D43831">
        <w:rPr>
          <w:color w:val="auto"/>
        </w:rPr>
        <w:t>Furthermore, we observe a significant separation between the Kaplan-Meier fitted curves of overall survival rates (OS, available only for TARGET data, lrt p-val = 1.36e-02 at 4948 days) (</w:t>
      </w:r>
      <w:r w:rsidR="00D43831" w:rsidRPr="00D43831">
        <w:rPr>
          <w:color w:val="auto"/>
        </w:rPr>
        <w:t>Fig.</w:t>
      </w:r>
      <w:r w:rsidRPr="00D43831">
        <w:rPr>
          <w:color w:val="auto"/>
        </w:rPr>
        <w:t xml:space="preserve"> 5b). As expected, patients with </w:t>
      </w:r>
      <w:r w:rsidR="00F05352">
        <w:rPr>
          <w:color w:val="auto"/>
        </w:rPr>
        <w:t>tumor</w:t>
      </w:r>
      <w:r w:rsidRPr="00D43831">
        <w:rPr>
          <w:color w:val="auto"/>
        </w:rPr>
        <w:t xml:space="preserve">s in </w:t>
      </w:r>
      <w:commentRangeStart w:id="1"/>
      <w:commentRangeStart w:id="2"/>
      <w:r w:rsidRPr="00D43831">
        <w:rPr>
          <w:b/>
          <w:bCs/>
          <w:color w:val="auto"/>
        </w:rPr>
        <w:t>T064 NEBLA MYCN</w:t>
      </w:r>
      <w:r w:rsidRPr="00D43831">
        <w:rPr>
          <w:color w:val="auto"/>
        </w:rPr>
        <w:t xml:space="preserve"> have the poorest outcome</w:t>
      </w:r>
      <w:commentRangeEnd w:id="1"/>
      <w:r w:rsidR="00AE5A14" w:rsidRPr="00D43831">
        <w:rPr>
          <w:rStyle w:val="CommentReference"/>
          <w:color w:val="auto"/>
        </w:rPr>
        <w:commentReference w:id="1"/>
      </w:r>
      <w:commentRangeEnd w:id="2"/>
      <w:r w:rsidR="00C334F2">
        <w:rPr>
          <w:rStyle w:val="CommentReference"/>
        </w:rPr>
        <w:commentReference w:id="2"/>
      </w:r>
      <w:r w:rsidRPr="00D43831">
        <w:rPr>
          <w:color w:val="auto"/>
        </w:rPr>
        <w:t xml:space="preserve">, followed by </w:t>
      </w:r>
      <w:r w:rsidRPr="00D43831">
        <w:rPr>
          <w:b/>
          <w:bCs/>
          <w:color w:val="auto"/>
        </w:rPr>
        <w:t xml:space="preserve">T065 </w:t>
      </w:r>
      <w:r w:rsidR="00003054">
        <w:rPr>
          <w:b/>
          <w:bCs/>
          <w:color w:val="auto"/>
        </w:rPr>
        <w:t>NEBLA ADR TERT</w:t>
      </w:r>
      <w:r w:rsidRPr="00D43831">
        <w:rPr>
          <w:color w:val="auto"/>
        </w:rPr>
        <w:t xml:space="preserve">, </w:t>
      </w:r>
      <w:r w:rsidRPr="00D43831">
        <w:rPr>
          <w:b/>
          <w:bCs/>
          <w:color w:val="auto"/>
        </w:rPr>
        <w:t>T062 NEBLA ERBB2</w:t>
      </w:r>
      <w:r w:rsidRPr="00D43831">
        <w:rPr>
          <w:color w:val="auto"/>
        </w:rPr>
        <w:t xml:space="preserve"> and finally </w:t>
      </w:r>
      <w:r w:rsidRPr="00D43831">
        <w:rPr>
          <w:b/>
          <w:bCs/>
          <w:color w:val="auto"/>
        </w:rPr>
        <w:t xml:space="preserve">T062 </w:t>
      </w:r>
      <w:r w:rsidR="007F7D7D">
        <w:rPr>
          <w:b/>
          <w:bCs/>
          <w:color w:val="auto"/>
        </w:rPr>
        <w:t>NEBLA ADR NTRK1</w:t>
      </w:r>
      <w:r w:rsidRPr="00D43831">
        <w:rPr>
          <w:color w:val="auto"/>
        </w:rPr>
        <w:t xml:space="preserve">. This is consistent with literature: improved survival was documented for </w:t>
      </w:r>
      <w:r w:rsidRPr="00D43831">
        <w:rPr>
          <w:i/>
          <w:iCs/>
          <w:color w:val="auto"/>
        </w:rPr>
        <w:t>ERBB2</w:t>
      </w:r>
      <w:r w:rsidRPr="00D43831">
        <w:rPr>
          <w:color w:val="auto"/>
        </w:rPr>
        <w:t xml:space="preserve"> overexpressing neuroblastomas,</w:t>
      </w:r>
      <w:r w:rsidR="00AE5A14" w:rsidRPr="00D43831">
        <w:rPr>
          <w:color w:val="auto"/>
        </w:rPr>
        <w:fldChar w:fldCharType="begin"/>
      </w:r>
      <w:r w:rsidR="00AE5A14" w:rsidRPr="00D43831">
        <w:rPr>
          <w:color w:val="auto"/>
        </w:rPr>
        <w:instrText>ADDIN F1000_CSL_CITATION&lt;~#@#~&gt;[{"DOI":"10.1038/modpathol.2010.115","First":false,"Last":false,"PMID":"20581805","abstract":"HER2 is essential for normal embryonic development and has a critical function in oncogenesis and progression of some types of cancer. Neuroblastic tumors create a heterogenous group of pediatric embryonal tumors of sympathoadrenal lineage. The biological and prognostic function of HER2 in these tumors is not well established. In this study, we evaluated the status of HER2, its prognostic significance, and clinicopathological correlations in series of 79 untreated neuroblastoma. The immunohistochemical assessment of HER2 and Ki-67 (proliferation index) as well as HER2 copy number status were performed on tissue microarrays. HER2 expression characterized 63 tumors, including 34 with low and 29 with high level, showing either membranous or mixed membranous-cytoplasmic pattern. Sixteen cases were HER2 immunonegative. The pattern of immunolabeling depended on the maturity of neuroblastic cells, being the most intense in differentiating neuroblasts. None of the tumors revealed HER2 amplification. In the examined group, 20% of patients died of disease from 4 to 107 months (median 18) from the diagnosis, and the survivors were followed up for 14-149 months (median 59). Patients' age, stage of disease, tumor location, mitosis/karyorrhexis index (MKI), and presence of HER2 expression were statistically significantly related to survival probability as detected by the Cox proportional hazard model. In the univariate analysis, Kaplan-Meier curves revealed significantly poorer outcome of HER2 negative than HER2-positive tumors (either low or high expression). The immunonegativity was associated with adverse clinicopathological parameters, including poor survival, metastatic stage of disease, un- or poorly differentiated histology, high MKI, and higher proliferation index. In conclusion, HER2 expression, not accompanied by gene amplification, is common in neuroblastic tumors. HER2 positivity seems to have a positive prognostic significance. HER2 expression with a variable pattern is a marker of the stage of neuroblastic cells differentiation.","author":[{"family":"Izycka-Swieszewska","given":"Ewa"},{"family":"Wozniak","given":"Agnieszka"},{"family":"Kot","given":"Jacek"},{"family":"Grajkowska","given":"Wieslawa"},{"family":"Balcerska","given":"Anna"},{"family":"Perek","given":"Danuta"},{"family":"Dembowska-Baginska","given":"Bozena"},{"family":"Klepacka","given":"Teresa"},{"family":"Drozynska","given":"Elzbieta"}],"authorYearDisplayFormat":false,"citation-label":"9510277","container-title":"Modern Pathology","container-title-short":"Mod. Pathol.","id":"9510277","invisible":false,"issue":"9","issued":{"date-parts":[["2010","9"]]},"journalAbbreviation":"Mod. Pathol.","page":"1261-1268","suppress-author":false,"title":"Prognostic significance of HER2 expression in neuroblastic tumors.","type":"article-journal","volume":"23"}]</w:instrText>
      </w:r>
      <w:r w:rsidR="00AE5A14" w:rsidRPr="00D43831">
        <w:rPr>
          <w:color w:val="auto"/>
        </w:rPr>
        <w:fldChar w:fldCharType="separate"/>
      </w:r>
      <w:r w:rsidRPr="00D43831">
        <w:rPr>
          <w:noProof/>
          <w:color w:val="auto"/>
          <w:vertAlign w:val="superscript"/>
        </w:rPr>
        <w:t>2</w:t>
      </w:r>
      <w:r w:rsidR="00AE5A14" w:rsidRPr="00D43831">
        <w:rPr>
          <w:color w:val="auto"/>
        </w:rPr>
        <w:fldChar w:fldCharType="end"/>
      </w:r>
      <w:r w:rsidRPr="00D43831">
        <w:rPr>
          <w:color w:val="auto"/>
        </w:rPr>
        <w:t xml:space="preserve"> although here observed only against other COG high-risk samples.</w:t>
      </w:r>
    </w:p>
    <w:p w14:paraId="554F1B4A" w14:textId="516DA8D5" w:rsidR="00AE5A14" w:rsidRPr="00D43831" w:rsidRDefault="00AE5A14" w:rsidP="00AE5A14">
      <w:pPr>
        <w:spacing w:line="240" w:lineRule="auto"/>
        <w:ind w:right="0" w:firstLine="0"/>
        <w:rPr>
          <w:color w:val="auto"/>
        </w:rPr>
      </w:pPr>
      <w:r w:rsidRPr="00D43831">
        <w:rPr>
          <w:color w:val="auto"/>
        </w:rPr>
        <w:t>Recent work investigated linage and developmental differences across neuroblastomas and identified two major groups defined by distinct expression modules</w:t>
      </w:r>
      <w:r w:rsidR="000C0675">
        <w:rPr>
          <w:color w:val="auto"/>
        </w:rPr>
        <w:t xml:space="preserve"> driven</w:t>
      </w:r>
      <w:r w:rsidRPr="00D43831">
        <w:rPr>
          <w:color w:val="auto"/>
        </w:rPr>
        <w:t>: a sympathoadrenal identity and neural-crest cell-like (NCC-like)/mesenchymal identity.</w:t>
      </w:r>
      <w:r w:rsidR="008A22E3">
        <w:rPr>
          <w:color w:val="auto"/>
        </w:rPr>
        <w:t xml:space="preserve"> </w:t>
      </w:r>
      <w:commentRangeStart w:id="3"/>
      <w:r w:rsidR="00C74842">
        <w:rPr>
          <w:color w:val="auto"/>
        </w:rPr>
        <w:t>These developmental states are</w:t>
      </w:r>
      <w:r w:rsidR="00444761">
        <w:rPr>
          <w:color w:val="auto"/>
        </w:rPr>
        <w:t xml:space="preserve"> mediated </w:t>
      </w:r>
      <w:r w:rsidR="00920A56">
        <w:rPr>
          <w:color w:val="auto"/>
        </w:rPr>
        <w:t xml:space="preserve">epigenetically </w:t>
      </w:r>
      <w:r w:rsidR="00444761">
        <w:rPr>
          <w:color w:val="auto"/>
        </w:rPr>
        <w:t xml:space="preserve">through </w:t>
      </w:r>
      <w:r w:rsidR="00920A56">
        <w:rPr>
          <w:color w:val="auto"/>
        </w:rPr>
        <w:t>the action of</w:t>
      </w:r>
      <w:r w:rsidR="00444761">
        <w:rPr>
          <w:color w:val="auto"/>
        </w:rPr>
        <w:t xml:space="preserve"> of</w:t>
      </w:r>
      <w:r w:rsidR="00CA0DE7">
        <w:rPr>
          <w:color w:val="auto"/>
        </w:rPr>
        <w:t xml:space="preserve"> super-enhancer and super-enhancer related transcriptional factor networks.</w:t>
      </w:r>
      <w:r w:rsidR="00444761">
        <w:rPr>
          <w:color w:val="auto"/>
        </w:rPr>
        <w:t xml:space="preserve"> </w:t>
      </w:r>
      <w:commentRangeEnd w:id="3"/>
      <w:r w:rsidR="00C74842">
        <w:rPr>
          <w:rStyle w:val="CommentReference"/>
        </w:rPr>
        <w:commentReference w:id="3"/>
      </w:r>
      <w:r w:rsidRPr="00D43831">
        <w:rPr>
          <w:color w:val="auto"/>
        </w:rPr>
        <w:t>Neuroblastomas can move from one to the other identity under selective pressure, induced by therapy or epigenetic alterations and often contain intermixed populations</w:t>
      </w:r>
      <w:r w:rsidRPr="00D43831">
        <w:rPr>
          <w:color w:val="auto"/>
        </w:rPr>
        <w:fldChar w:fldCharType="begin"/>
      </w:r>
      <w:r w:rsidR="00D35CCC" w:rsidRPr="00D43831">
        <w:rPr>
          <w:color w:val="auto"/>
        </w:rPr>
        <w:instrText>ADDIN F1000_CSL_CITATION&lt;~#@#~&gt;[{"DOI":"10.1038/ng.3921","First":false,"Last":false,"PMID":"28740262","abstract":"Neuroblastoma is a tumor of the peripheral sympathetic nervous system, derived from multipotent neural crest cells (NCCs). To define core regulatory circuitries (CRCs) controlling the gene expression program of neuroblastoma, we established and analyzed the neuroblastoma super-enhancer landscape. We discovered three types of identity in neuroblastoma cell lines: a sympathetic noradrenergic identity, defined by a CRC module including the PHOX2B, HAND2 and GATA3 transcription factors (TFs); an NCC-like identity, driven by a CRC module containing AP-1 TFs; and a mixed type, further deconvoluted at the single-cell level. Treatment of the mixed type with chemotherapeutic agents resulted in enrichment of NCC-like cells. The noradrenergic module was validated by ChIP-seq. Functional studies demonstrated dependency of neuroblastoma with noradrenergic identity on PHOX2B, evocative of lineage addiction. Most neuroblastoma primary tumors express TFs from the noradrenergic and NCC-like modules. Our data demonstrate a previously unknown aspect of tumor heterogeneity relevant for neuroblastoma treatment strategies.","author":[{"family":"Boeva","given":"Valentina"},{"family":"Louis-Brennetot","given":"Caroline"},{"family":"Peltier","given":"Agathe"},{"family":"Durand","given":"Simon"},{"family":"Pierre-Eugène","given":"Cécile"},{"family":"Raynal","given":"Virginie"},{"family":"Etchevers","given":"Heather C"},{"family":"Thomas","given":"Sophie"},{"family":"Lermine","given":"Alban"},{"family":"Daudigeos-Dubus","given":"Estelle"},{"family":"Geoerger","given":"Birgit"},{"family":"Orth","given":"Martin F"},{"family":"Grünewald","given":"Thomas G P"},{"family":"Diaz","given":"Elise"},{"family":"Ducos","given":"Bertrand"},{"family":"Surdez","given":"Didier"},{"family":"Carcaboso","given":"Angel M"},{"family":"Medvedeva","given":"Irina"},{"family":"Deller","given":"Thomas"},{"family":"Combaret","given":"Valérie"},{"family":"Lapouble","given":"Eve"},{"family":"Pierron","given":"Gaelle"},{"family":"Grossetête-Lalami","given":"Sandrine"},{"family":"Baulande","given":"Sylvain"},{"family":"Schleiermacher","given":"Gudrun"},{"family":"Barillot","given":"Emmanuel"},{"family":"Rohrer","given":"Hermann"},{"family":"Delattre","given":"Olivier"},{"family":"Janoueix-Lerosey","given":"Isabelle"}],"authorYearDisplayFormat":false,"citation-label":"4255864","container-title":"Nature Genetics","container-title-short":"Nat. Genet.","id":"4255864","invisible":false,"issue":"9","issued":{"date-parts":[["2017","9"]]},"journalAbbreviation":"Nat. Genet.","page":"1408-1413","suppress-author":false,"title":"Heterogeneity of neuroblastoma cell identity defined by transcriptional circuitries.","type":"article-journal","volume":"49"},{"DOI":"10.1038/ng.3899","First":false,"Last":false,"PMID":"28650485","abstract":"Neuroblastoma and other pediatric tumors show a paucity of gene mutations, which has sparked an interest in their epigenetic regulation. Several tumor types include phenotypically divergent cells, resembling cells from different lineage development stages. It has been proposed that super-enhancer-associated transcription factor (TF) networks underlie lineage identity, but the role of these enhancers in intratumoral heterogeneity is unknown. Here we show that most neuroblastomas include two types of tumor cells with divergent gene expression profiles. Undifferentiated mesenchymal cells and committed adrenergic cells can interconvert and resemble cells from different lineage differentiation stages. ChIP-seq analysis of isogenic pairs of mesenchymal and adrenergic cells identified a distinct super-enhancer landscape and super-enhancer-associated TF network for each cell type. Expression of the mesenchymal TF PRRX1 could reprogram the super-enhancer and mRNA landscapes of adrenergic cells toward a mesenchymal state. Mesenchymal cells were more chemoresistant in vitro and were enriched in post-therapy and relapse tumors. Two super-enhancer-associated TF networks, which probably mediate lineage control in normal development, thus dominate epigenetic control of neuroblastoma and shape intratumoral heterogeneity.","author":[{"family":"van Groningen","given":"Tim"},{"family":"Koster","given":"Jan"},{"family":"Valentijn","given":"Linda J"},{"family":"Zwijnenburg","given":"Danny A"},{"family":"Akogul","given":"Nurdan"},{"family":"Hasselt","given":"Nancy E"},{"family":"Broekmans","given":"Marloes"},{"family":"Haneveld","given":"Franciska"},{"family":"Nowakowska","given":"Natalia E"},{"family":"Bras","given":"Johannes"},{"family":"van Noesel","given":"Carel J M"},{"family":"Jongejan","given":"Aldo"},{"family":"van Kampen","given":"Antoine H"},{"family":"Koster","given":"Linda"},{"family":"Baas","given":"Frank"},{"family":"van Dijk-Kerkhoven","given":"Lianne"},{"family":"Huizer-Smit","given":"Margriet"},{"family":"Lecca","given":"Maria C"},{"family":"Chan","given":"Alvin"},{"family":"Lakeman","given":"Arjan"},{"family":"Molenaar","given":"Piet"},{"family":"Volckmann","given":"Richard"},{"family":"Westerhout","given":"Ellen M"},{"family":"Hamdi","given":"Mohamed"},{"family":"van Sluis","given":"Peter G"},{"family":"Ebus","given":"Marli E"},{"family":"Molenaar","given":"Jan J"},{"family":"Tytgat","given":"Godelieve A"},{"family":"Westerman","given":"Bart A"},{"family":"van Nes","given":"Johan"},{"family":"Versteeg","given":"Rogier"}],"authorYearDisplayFormat":false,"citation-label":"3883739","container-title":"Nature Genetics","container-title-short":"Nat. Genet.","id":"3883739","invisible":false,"issue":"8","issued":{"date-parts":[["2017","8"]]},"journalAbbreviation":"Nat. Genet.","page":"1261-1266","suppress-author":false,"title":"Neuroblastoma is composed of two super-enhancer-associated differentiation states.","type":"article-journal","volume":"49"}]</w:instrText>
      </w:r>
      <w:r w:rsidRPr="00D43831">
        <w:rPr>
          <w:color w:val="auto"/>
        </w:rPr>
        <w:fldChar w:fldCharType="separate"/>
      </w:r>
      <w:r w:rsidR="00D35CCC" w:rsidRPr="00D43831">
        <w:rPr>
          <w:noProof/>
          <w:color w:val="auto"/>
          <w:vertAlign w:val="superscript"/>
        </w:rPr>
        <w:t>27,28</w:t>
      </w:r>
      <w:r w:rsidRPr="00D43831">
        <w:rPr>
          <w:color w:val="auto"/>
        </w:rPr>
        <w:fldChar w:fldCharType="end"/>
      </w:r>
      <w:r w:rsidRPr="00D43831">
        <w:rPr>
          <w:color w:val="auto"/>
        </w:rPr>
        <w:t xml:space="preserve">. We thus decided to search for overlaps between these developmental identities and our clusters. </w:t>
      </w:r>
    </w:p>
    <w:p w14:paraId="56D6B6F4" w14:textId="0939BC72" w:rsidR="00AE5A14" w:rsidRPr="00D43831" w:rsidRDefault="32EC528B" w:rsidP="32EC528B">
      <w:pPr>
        <w:spacing w:line="240" w:lineRule="auto"/>
        <w:ind w:right="0" w:firstLine="0"/>
        <w:rPr>
          <w:color w:val="auto"/>
        </w:rPr>
      </w:pPr>
      <w:r w:rsidRPr="00D43831">
        <w:rPr>
          <w:color w:val="auto"/>
        </w:rPr>
        <w:t xml:space="preserve">Interestingly, we observe the characteristic signature of both lineages in all clusters although expressed to different degrees. </w:t>
      </w:r>
      <w:r w:rsidRPr="00D43831">
        <w:rPr>
          <w:b/>
          <w:bCs/>
          <w:color w:val="auto"/>
        </w:rPr>
        <w:t>T062 NEBLA ERBB2</w:t>
      </w:r>
      <w:r w:rsidRPr="00D43831">
        <w:rPr>
          <w:color w:val="auto"/>
        </w:rPr>
        <w:t xml:space="preserve"> in particular is committed to an NCC-like linage as shown by high expression of NCC-like and mesenchymal markers (medNES = 1.57, KW adj. p-val = 3.69e-07, Dunn adj. p-val &lt; 1.00e-03) against all other classes (</w:t>
      </w:r>
      <w:r w:rsidR="00D43831" w:rsidRPr="00D43831">
        <w:rPr>
          <w:color w:val="auto"/>
        </w:rPr>
        <w:t>Fig.</w:t>
      </w:r>
      <w:r w:rsidRPr="00D43831">
        <w:rPr>
          <w:color w:val="auto"/>
        </w:rPr>
        <w:t xml:space="preserve"> 5g</w:t>
      </w:r>
      <w:r w:rsidR="00D43831" w:rsidRPr="00D43831">
        <w:rPr>
          <w:color w:val="auto"/>
        </w:rPr>
        <w:t>,</w:t>
      </w:r>
      <w:r w:rsidRPr="00D43831">
        <w:rPr>
          <w:color w:val="auto"/>
        </w:rPr>
        <w:t xml:space="preserve"> </w:t>
      </w:r>
      <w:r w:rsidR="00D43831" w:rsidRPr="00D43831">
        <w:rPr>
          <w:color w:val="auto"/>
        </w:rPr>
        <w:t>Fig. S</w:t>
      </w:r>
      <w:r w:rsidRPr="00D43831">
        <w:rPr>
          <w:color w:val="auto"/>
        </w:rPr>
        <w:t>22a). These in turn show enrichment noradrenergic and sympathoadrenal gene sets (KW adj. p-val ≤ 1.19e-09)</w:t>
      </w:r>
      <w:commentRangeStart w:id="4"/>
      <w:r w:rsidR="2538BDDE" w:rsidRPr="00D43831">
        <w:rPr>
          <w:color w:val="auto"/>
        </w:rPr>
        <w:fldChar w:fldCharType="begin"/>
      </w:r>
      <w:r w:rsidR="2538BDDE" w:rsidRPr="00D43831">
        <w:rPr>
          <w:color w:val="auto"/>
        </w:rPr>
        <w:instrText>ADDIN F1000_CSL_CITATION&lt;~#@#~&gt;[{"DOI":"10.1038/ng.3921","First":false,"Last":false,"PMID":"28740262","abstract":"Neuroblastoma is a tumor of the peripheral sympathetic nervous system, derived from multipotent neural crest cells (NCCs). To define core regulatory circuitries (CRCs) controlling the gene expression program of neuroblastoma, we established and analyzed the neuroblastoma super-enhancer landscape. We discovered three types of identity in neuroblastoma cell lines: a sympathetic noradrenergic identity, defined by a CRC module including the PHOX2B, HAND2 and GATA3 transcription factors (TFs); an NCC-like identity, driven by a CRC module containing AP-1 TFs; and a mixed type, further deconvoluted at the single-cell level. Treatment of the mixed type with chemotherapeutic agents resulted in enrichment of NCC-like cells. The noradrenergic module was validated by ChIP-seq. Functional studies demonstrated dependency of neuroblastoma with noradrenergic identity on PHOX2B, evocative of lineage addiction. Most neuroblastoma primary tumors express TFs from the noradrenergic and NCC-like modules. Our data demonstrate a previously unknown aspect of tumor heterogeneity relevant for neuroblastoma treatment strategies.","author":[{"family":"Boeva","given":"Valentina"},{"family":"Louis-Brennetot","given":"Caroline"},{"family":"Peltier","given":"Agathe"},{"family":"Durand","given":"Simon"},{"family":"Pierre-Eugène","given":"Cécile"},{"family":"Raynal","given":"Virginie"},{"family":"Etchevers","given":"Heather C"},{"family":"Thomas","given":"Sophie"},{"family":"Lermine","given":"Alban"},{"family":"Daudigeos-Dubus","given":"Estelle"},{"family":"Geoerger","given":"Birgit"},{"family":"Orth","given":"Martin F"},{"family":"Grünewald","given":"Thomas G P"},{"family":"Diaz","given":"Elise"},{"family":"Ducos","given":"Bertrand"},{"family":"Surdez","given":"Didier"},{"family":"Carcaboso","given":"Angel M"},{"family":"Medvedeva","given":"Irina"},{"family":"Deller","given":"Thomas"},{"family":"Combaret","given":"Valérie"},{"family":"Lapouble","given":"Eve"},{"family":"Pierron","given":"Gaelle"},{"family":"Grossetête-Lalami","given":"Sandrine"},{"family":"Baulande","given":"Sylvain"},{"family":"Schleiermacher","given":"Gudrun"},{"family":"Barillot","given":"Emmanuel"},{"family":"Rohrer","given":"Hermann"},{"family":"Delattre","given":"Olivier"},{"family":"Janoueix-Lerosey","given":"Isabelle"}],"authorYearDisplayFormat":false,"citation-label":"4255864","container-title":"Nature Genetics","container-title-short":"Nat. Genet.","id":"4255864","invisible":false,"issue":"9","issued":{"date-parts":[["2017","9"]]},"journalAbbreviation":"Nat. Genet.","page":"1408-1413","suppress-author":false,"title":"Heterogeneity of neuroblastoma cell identity defined by transcriptional circuitries.","type":"article-journal","volume":"49"},{"DOI":"10.1038/ng.3899","First":false,"Last":false,"PMID":"28650485","abstract":"Neuroblastoma and other pediatric tumors show a paucity of gene mutations, which has sparked an interest in their epigenetic regulation. Several tumor types include phenotypically divergent cells, resembling cells from different lineage development stages. It has been proposed that super-enhancer-associated transcription factor (TF) networks underlie lineage identity, but the role of these enhancers in intratumoral heterogeneity is unknown. Here we show that most neuroblastomas include two types of tumor cells with divergent gene expression profiles. Undifferentiated mesenchymal cells and committed adrenergic cells can interconvert and resemble cells from different lineage differentiation stages. ChIP-seq analysis of isogenic pairs of mesenchymal and adrenergic cells identified a distinct super-enhancer landscape and super-enhancer-associated TF network for each cell type. Expression of the mesenchymal TF PRRX1 could reprogram the super-enhancer and mRNA landscapes of adrenergic cells toward a mesenchymal state. Mesenchymal cells were more chemoresistant in vitro and were enriched in post-therapy and relapse tumors. Two super-enhancer-associated TF networks, which probably mediate lineage control in normal development, thus dominate epigenetic control of neuroblastoma and shape intratumoral heterogeneity.","author":[{"family":"van Groningen","given":"Tim"},{"family":"Koster","given":"Jan"},{"family":"Valentijn","given":"Linda J"},{"family":"Zwijnenburg","given":"Danny A"},{"family":"Akogul","given":"Nurdan"},{"family":"Hasselt","given":"Nancy E"},{"family":"Broekmans","given":"Marloes"},{"family":"Haneveld","given":"Franciska"},{"family":"Nowakowska","given":"Natalia E"},{"family":"Bras","given":"Johannes"},{"family":"van Noesel","given":"Carel J M"},{"family":"Jongejan","given":"Aldo"},{"family":"van Kampen","given":"Antoine H"},{"family":"Koster","given":"Linda"},{"family":"Baas","given":"Frank"},{"family":"van Dijk-Kerkhoven","given":"Lianne"},{"family":"Huizer-Smit","given":"Margriet"},{"family":"Lecca","given":"Maria C"},{"family":"Chan","given":"Alvin"},{"family":"Lakeman","given":"Arjan"},{"family":"Molenaar","given":"Piet"},{"family":"Volckmann","given":"Richard"},{"family":"Westerhout","given":"Ellen M"},{"family":"Hamdi","given":"Mohamed"},{"family":"van Sluis","given":"Peter G"},{"family":"Ebus","given":"Marli E"},{"family":"Molenaar","given":"Jan J"},{"family":"Tytgat","given":"Godelieve A"},{"family":"Westerman","given":"Bart A"},{"family":"van Nes","given":"Johan"},{"family":"Versteeg","given":"Rogier"}],"authorYearDisplayFormat":false,"citation-label":"3883739","container-title":"Nature Genetics","container-title-short":"Nat. Genet.","id":"3883739","invisible":false,"issue":"8","issued":{"date-parts":[["2017","8"]]},"journalAbbreviation":"Nat. Genet.","page":"1261-1266","suppress-author":false,"title":"Neuroblastoma is composed of two super-enhancer-associated differentiation states.","type":"article-journal","volume":"49"},{"DOI":"10.1007/s00441-017-2747-0","First":false,"Last":false,"PMCID":"PMC5918240","PMID":"29222693","abstract":"Neuroblastoma (NB) is an aggressive pediatric cancer that originates from neural crest tissues of the sympathetic nervous system. NB is highly heterogeneous both from a clinical and a molecular perspective. Clinically, this cancer represents a wide range of phenotypes ranging from spontaneous regression of 4S disease to unremitting treatment-refractory progression and death of high-risk metastatic disease. At a cellular level, the heterogeneous behavior of NB likely arises from an arrest and deregulation of normal neural crest development. In the present review, we summarize our current knowledge of neural crest development as it relates to pathways promoting 'stemness' and how deregulation may contribute to the development of tumor-initiating CSCs. There is an emerging consensus that such tumor subpopulations contribute to the evolution of drug resistance, metastasis and relapse in other equally aggressive malignancies. As relapsed, refractory disease remains the primary cause of death for neuroblastoma, the identification and targeting of CSCs or other primary drivers of tumor progression remains a critical, clinically significant goal for neuroblastoma. We will critically review recent and past evidence in the literature supporting the concept of CSCs as drivers of neuroblastoma pathogenesis.","author":[{"family":"Tomolonis","given":"Julie A"},{"family":"Agarwal","given":"Saurabh"},{"family":"Shohet","given":"Jason M"}],"authorYearDisplayFormat":false,"citation-label":"6666375","container-title":"Cell and Tissue Research","container-title-short":"Cell Tissue Res.","id":"6666375","invisible":false,"issue":"2","issued":{"date-parts":[["2018"]]},"journalAbbreviation":"Cell Tissue Res.","page":"245-262","suppress-author":false,"title":"Neuroblastoma pathogenesis: deregulation of embryonic neural crest development.","type":"article-journal","volume":"372"}]</w:instrText>
      </w:r>
      <w:r w:rsidR="2538BDDE" w:rsidRPr="00D43831">
        <w:rPr>
          <w:color w:val="auto"/>
        </w:rPr>
        <w:fldChar w:fldCharType="separate"/>
      </w:r>
      <w:r w:rsidRPr="00D43831">
        <w:rPr>
          <w:noProof/>
          <w:color w:val="auto"/>
          <w:vertAlign w:val="superscript"/>
        </w:rPr>
        <w:t>27–29</w:t>
      </w:r>
      <w:r w:rsidR="2538BDDE" w:rsidRPr="00D43831">
        <w:rPr>
          <w:color w:val="auto"/>
        </w:rPr>
        <w:fldChar w:fldCharType="end"/>
      </w:r>
      <w:commentRangeEnd w:id="4"/>
      <w:r w:rsidR="2538BDDE" w:rsidRPr="00D43831">
        <w:rPr>
          <w:rStyle w:val="CommentReference"/>
          <w:color w:val="auto"/>
        </w:rPr>
        <w:commentReference w:id="4"/>
      </w:r>
      <w:r w:rsidRPr="00D43831">
        <w:rPr>
          <w:color w:val="auto"/>
        </w:rPr>
        <w:t>(</w:t>
      </w:r>
      <w:r w:rsidR="00D43831" w:rsidRPr="00D43831">
        <w:rPr>
          <w:color w:val="auto"/>
        </w:rPr>
        <w:t>Fig.</w:t>
      </w:r>
      <w:r w:rsidRPr="00D43831">
        <w:rPr>
          <w:color w:val="auto"/>
        </w:rPr>
        <w:t xml:space="preserve"> 5g</w:t>
      </w:r>
      <w:r w:rsidR="00D43831" w:rsidRPr="00D43831">
        <w:rPr>
          <w:color w:val="auto"/>
        </w:rPr>
        <w:t>,</w:t>
      </w:r>
      <w:r w:rsidRPr="00D43831">
        <w:rPr>
          <w:color w:val="auto"/>
        </w:rPr>
        <w:t xml:space="preserve"> </w:t>
      </w:r>
      <w:r w:rsidR="00D43831" w:rsidRPr="00D43831">
        <w:rPr>
          <w:color w:val="auto"/>
        </w:rPr>
        <w:t>Fig. S</w:t>
      </w:r>
      <w:r w:rsidRPr="00D43831">
        <w:rPr>
          <w:color w:val="auto"/>
        </w:rPr>
        <w:t xml:space="preserve">22a).  </w:t>
      </w:r>
    </w:p>
    <w:p w14:paraId="06359D04" w14:textId="76CD1359" w:rsidR="00AE5A14" w:rsidRPr="00D43831" w:rsidRDefault="32EC528B" w:rsidP="32EC528B">
      <w:pPr>
        <w:spacing w:line="240" w:lineRule="auto"/>
        <w:ind w:right="0" w:firstLine="0"/>
        <w:rPr>
          <w:color w:val="auto"/>
        </w:rPr>
      </w:pPr>
      <w:r w:rsidRPr="00D43831">
        <w:rPr>
          <w:color w:val="auto"/>
        </w:rPr>
        <w:t xml:space="preserve">Samples belonging to </w:t>
      </w:r>
      <w:r w:rsidRPr="00D43831">
        <w:rPr>
          <w:b/>
          <w:bCs/>
          <w:color w:val="auto"/>
        </w:rPr>
        <w:t xml:space="preserve">T065 </w:t>
      </w:r>
      <w:r w:rsidR="00003054">
        <w:rPr>
          <w:b/>
          <w:bCs/>
          <w:color w:val="auto"/>
        </w:rPr>
        <w:t>NEBLA ADR TERT</w:t>
      </w:r>
      <w:r w:rsidRPr="00D43831">
        <w:rPr>
          <w:color w:val="auto"/>
        </w:rPr>
        <w:t xml:space="preserve"> seem to be the most committed to the sympathoadrenal specification (Dunn adj. p-val &lt; 0.05 against </w:t>
      </w:r>
      <w:r w:rsidRPr="00D43831">
        <w:rPr>
          <w:b/>
          <w:bCs/>
          <w:color w:val="auto"/>
        </w:rPr>
        <w:t xml:space="preserve">T062 </w:t>
      </w:r>
      <w:r w:rsidRPr="00D43831">
        <w:rPr>
          <w:color w:val="auto"/>
        </w:rPr>
        <w:t xml:space="preserve">and </w:t>
      </w:r>
      <w:r w:rsidRPr="00D43831">
        <w:rPr>
          <w:b/>
          <w:bCs/>
          <w:color w:val="auto"/>
        </w:rPr>
        <w:t xml:space="preserve">T064) </w:t>
      </w:r>
      <w:r w:rsidRPr="00D43831">
        <w:rPr>
          <w:color w:val="auto"/>
        </w:rPr>
        <w:t>(</w:t>
      </w:r>
      <w:r w:rsidR="00D43831" w:rsidRPr="00D43831">
        <w:rPr>
          <w:color w:val="auto"/>
        </w:rPr>
        <w:t>Fig. S</w:t>
      </w:r>
      <w:r w:rsidRPr="00D43831">
        <w:rPr>
          <w:color w:val="auto"/>
        </w:rPr>
        <w:t xml:space="preserve">22b). </w:t>
      </w:r>
      <w:r w:rsidRPr="00D43831">
        <w:rPr>
          <w:b/>
          <w:bCs/>
          <w:color w:val="auto"/>
        </w:rPr>
        <w:t>T064 NEBLA MYCN</w:t>
      </w:r>
      <w:r w:rsidRPr="00D43831">
        <w:rPr>
          <w:color w:val="auto"/>
        </w:rPr>
        <w:t xml:space="preserve"> shows high variation in the values of its enrichment scores for both linages (ssGSEA) (</w:t>
      </w:r>
      <w:r w:rsidR="00D43831" w:rsidRPr="00D43831">
        <w:rPr>
          <w:color w:val="auto"/>
        </w:rPr>
        <w:t>Fig.</w:t>
      </w:r>
      <w:r w:rsidRPr="00D43831">
        <w:rPr>
          <w:color w:val="auto"/>
        </w:rPr>
        <w:t xml:space="preserve"> 5g</w:t>
      </w:r>
      <w:r w:rsidR="00D43831" w:rsidRPr="00D43831">
        <w:rPr>
          <w:color w:val="auto"/>
        </w:rPr>
        <w:t>,</w:t>
      </w:r>
      <w:r w:rsidRPr="00D43831">
        <w:rPr>
          <w:color w:val="auto"/>
        </w:rPr>
        <w:t xml:space="preserve"> </w:t>
      </w:r>
      <w:r w:rsidR="00D43831" w:rsidRPr="00D43831">
        <w:rPr>
          <w:color w:val="auto"/>
        </w:rPr>
        <w:t>Fig. S</w:t>
      </w:r>
      <w:r w:rsidRPr="00D43831">
        <w:rPr>
          <w:color w:val="auto"/>
        </w:rPr>
        <w:t xml:space="preserve">22b). The expression profile downstream of </w:t>
      </w:r>
      <w:r w:rsidRPr="00D43831">
        <w:rPr>
          <w:i/>
          <w:iCs/>
          <w:color w:val="auto"/>
        </w:rPr>
        <w:t>MYCN</w:t>
      </w:r>
      <w:r w:rsidRPr="00D43831">
        <w:rPr>
          <w:color w:val="auto"/>
        </w:rPr>
        <w:t xml:space="preserve"> amplification may have overridden the original identity signal, or alternatively mixed-lineage populations are common in </w:t>
      </w:r>
      <w:r w:rsidRPr="00D43831">
        <w:rPr>
          <w:i/>
          <w:iCs/>
          <w:color w:val="auto"/>
        </w:rPr>
        <w:t>MYCN</w:t>
      </w:r>
      <w:r w:rsidRPr="00D43831">
        <w:rPr>
          <w:color w:val="auto"/>
        </w:rPr>
        <w:t xml:space="preserve"> amplified samples.</w:t>
      </w:r>
    </w:p>
    <w:p w14:paraId="673451F2" w14:textId="77777777" w:rsidR="00C15BFF" w:rsidRPr="00D43831" w:rsidRDefault="00C15BFF" w:rsidP="00C15BFF">
      <w:pPr>
        <w:spacing w:line="240" w:lineRule="auto"/>
        <w:ind w:right="0" w:firstLine="0"/>
        <w:rPr>
          <w:color w:val="auto"/>
        </w:rPr>
      </w:pPr>
    </w:p>
    <w:p w14:paraId="3D704A41" w14:textId="77777777" w:rsidR="00C15BFF" w:rsidRPr="00D43831" w:rsidRDefault="00C15BFF" w:rsidP="00C15BFF">
      <w:pPr>
        <w:widowControl w:val="0"/>
        <w:autoSpaceDE w:val="0"/>
        <w:autoSpaceDN w:val="0"/>
        <w:adjustRightInd w:val="0"/>
        <w:rPr>
          <w:b/>
          <w:bCs/>
          <w:color w:val="auto"/>
          <w:szCs w:val="20"/>
        </w:rPr>
      </w:pPr>
      <w:r w:rsidRPr="00D43831">
        <w:rPr>
          <w:b/>
          <w:bCs/>
          <w:color w:val="auto"/>
          <w:szCs w:val="20"/>
        </w:rPr>
        <w:t>Bibliography</w:t>
      </w:r>
    </w:p>
    <w:p w14:paraId="2855697B" w14:textId="77777777" w:rsidR="00D35CCC" w:rsidRPr="00D43831" w:rsidRDefault="00C15BFF">
      <w:pPr>
        <w:widowControl w:val="0"/>
        <w:autoSpaceDE w:val="0"/>
        <w:autoSpaceDN w:val="0"/>
        <w:adjustRightInd w:val="0"/>
        <w:rPr>
          <w:rFonts w:ascii="Times New Roman" w:hAnsi="Times New Roman" w:cs="Times New Roman"/>
          <w:noProof/>
          <w:color w:val="auto"/>
          <w:lang w:val="en-US"/>
        </w:rPr>
      </w:pPr>
      <w:r w:rsidRPr="00D43831">
        <w:rPr>
          <w:color w:val="auto"/>
          <w:szCs w:val="20"/>
        </w:rPr>
        <w:fldChar w:fldCharType="begin"/>
      </w:r>
      <w:r w:rsidR="00D35CCC" w:rsidRPr="00D43831">
        <w:rPr>
          <w:color w:val="auto"/>
          <w:szCs w:val="20"/>
        </w:rPr>
        <w:instrText>ADDIN F1000_CSL_BIBLIOGRAPHY</w:instrText>
      </w:r>
      <w:r w:rsidRPr="00D43831">
        <w:rPr>
          <w:color w:val="auto"/>
          <w:szCs w:val="20"/>
        </w:rPr>
        <w:fldChar w:fldCharType="separate"/>
      </w:r>
    </w:p>
    <w:p w14:paraId="6FBC6E45" w14:textId="77777777" w:rsidR="00D35CCC" w:rsidRPr="00D43831" w:rsidRDefault="00D35CCC">
      <w:pPr>
        <w:widowControl w:val="0"/>
        <w:autoSpaceDE w:val="0"/>
        <w:autoSpaceDN w:val="0"/>
        <w:adjustRightInd w:val="0"/>
        <w:ind w:left="440" w:hanging="440"/>
        <w:rPr>
          <w:rFonts w:ascii="Times New Roman" w:hAnsi="Times New Roman" w:cs="Times New Roman"/>
          <w:noProof/>
          <w:color w:val="auto"/>
          <w:lang w:val="en-US"/>
        </w:rPr>
      </w:pPr>
      <w:r w:rsidRPr="00D43831">
        <w:rPr>
          <w:rFonts w:ascii="Times New Roman" w:hAnsi="Times New Roman" w:cs="Times New Roman"/>
          <w:noProof/>
          <w:color w:val="auto"/>
          <w:lang w:val="en-US"/>
        </w:rPr>
        <w:t>1.</w:t>
      </w:r>
      <w:r w:rsidRPr="00D43831">
        <w:rPr>
          <w:rFonts w:ascii="Times New Roman" w:hAnsi="Times New Roman" w:cs="Times New Roman"/>
          <w:noProof/>
          <w:color w:val="auto"/>
          <w:lang w:val="en-US"/>
        </w:rPr>
        <w:tab/>
        <w:t xml:space="preserve">Abel, F. </w:t>
      </w:r>
      <w:r w:rsidRPr="00D43831">
        <w:rPr>
          <w:rFonts w:ascii="Times New Roman" w:hAnsi="Times New Roman" w:cs="Times New Roman"/>
          <w:i/>
          <w:iCs/>
          <w:noProof/>
          <w:color w:val="auto"/>
          <w:lang w:val="en-US"/>
        </w:rPr>
        <w:t>et al.</w:t>
      </w:r>
      <w:r w:rsidRPr="00D43831">
        <w:rPr>
          <w:rFonts w:ascii="Times New Roman" w:hAnsi="Times New Roman" w:cs="Times New Roman"/>
          <w:noProof/>
          <w:color w:val="auto"/>
          <w:lang w:val="en-US"/>
        </w:rPr>
        <w:t xml:space="preserve"> A 6-gene signature identifies four molecular subgroups of neuroblastoma. </w:t>
      </w:r>
      <w:r w:rsidRPr="00D43831">
        <w:rPr>
          <w:rFonts w:ascii="Times New Roman" w:hAnsi="Times New Roman" w:cs="Times New Roman"/>
          <w:i/>
          <w:iCs/>
          <w:noProof/>
          <w:color w:val="auto"/>
          <w:lang w:val="en-US"/>
        </w:rPr>
        <w:t>Cancer Cell Int.</w:t>
      </w:r>
      <w:r w:rsidRPr="00D43831">
        <w:rPr>
          <w:rFonts w:ascii="Times New Roman" w:hAnsi="Times New Roman" w:cs="Times New Roman"/>
          <w:noProof/>
          <w:color w:val="auto"/>
          <w:lang w:val="en-US"/>
        </w:rPr>
        <w:t xml:space="preserve"> </w:t>
      </w:r>
      <w:r w:rsidRPr="00D43831">
        <w:rPr>
          <w:rFonts w:ascii="Times New Roman" w:hAnsi="Times New Roman" w:cs="Times New Roman"/>
          <w:b/>
          <w:bCs/>
          <w:noProof/>
          <w:color w:val="auto"/>
          <w:lang w:val="en-US"/>
        </w:rPr>
        <w:t>11,</w:t>
      </w:r>
      <w:r w:rsidRPr="00D43831">
        <w:rPr>
          <w:rFonts w:ascii="Times New Roman" w:hAnsi="Times New Roman" w:cs="Times New Roman"/>
          <w:noProof/>
          <w:color w:val="auto"/>
          <w:lang w:val="en-US"/>
        </w:rPr>
        <w:t xml:space="preserve"> 9 (2011).</w:t>
      </w:r>
    </w:p>
    <w:p w14:paraId="2ADF3E0F" w14:textId="77777777" w:rsidR="00D35CCC" w:rsidRPr="00D43831" w:rsidRDefault="00D35CCC">
      <w:pPr>
        <w:widowControl w:val="0"/>
        <w:autoSpaceDE w:val="0"/>
        <w:autoSpaceDN w:val="0"/>
        <w:adjustRightInd w:val="0"/>
        <w:ind w:left="440" w:hanging="440"/>
        <w:rPr>
          <w:rFonts w:ascii="Times New Roman" w:hAnsi="Times New Roman" w:cs="Times New Roman"/>
          <w:noProof/>
          <w:color w:val="auto"/>
          <w:lang w:val="en-US"/>
        </w:rPr>
      </w:pPr>
      <w:r w:rsidRPr="00D43831">
        <w:rPr>
          <w:rFonts w:ascii="Times New Roman" w:hAnsi="Times New Roman" w:cs="Times New Roman"/>
          <w:noProof/>
          <w:color w:val="auto"/>
          <w:lang w:val="en-US"/>
        </w:rPr>
        <w:t>2.</w:t>
      </w:r>
      <w:r w:rsidRPr="00D43831">
        <w:rPr>
          <w:rFonts w:ascii="Times New Roman" w:hAnsi="Times New Roman" w:cs="Times New Roman"/>
          <w:noProof/>
          <w:color w:val="auto"/>
          <w:lang w:val="en-US"/>
        </w:rPr>
        <w:tab/>
        <w:t xml:space="preserve">Izycka-Swieszewska, E. </w:t>
      </w:r>
      <w:r w:rsidRPr="00D43831">
        <w:rPr>
          <w:rFonts w:ascii="Times New Roman" w:hAnsi="Times New Roman" w:cs="Times New Roman"/>
          <w:i/>
          <w:iCs/>
          <w:noProof/>
          <w:color w:val="auto"/>
          <w:lang w:val="en-US"/>
        </w:rPr>
        <w:t>et al.</w:t>
      </w:r>
      <w:r w:rsidRPr="00D43831">
        <w:rPr>
          <w:rFonts w:ascii="Times New Roman" w:hAnsi="Times New Roman" w:cs="Times New Roman"/>
          <w:noProof/>
          <w:color w:val="auto"/>
          <w:lang w:val="en-US"/>
        </w:rPr>
        <w:t xml:space="preserve"> Prognostic significance of HER2 expression in neuroblastic tumors. </w:t>
      </w:r>
      <w:r w:rsidRPr="00D43831">
        <w:rPr>
          <w:rFonts w:ascii="Times New Roman" w:hAnsi="Times New Roman" w:cs="Times New Roman"/>
          <w:i/>
          <w:iCs/>
          <w:noProof/>
          <w:color w:val="auto"/>
          <w:lang w:val="en-US"/>
        </w:rPr>
        <w:t>Mod. Pathol.</w:t>
      </w:r>
      <w:r w:rsidRPr="00D43831">
        <w:rPr>
          <w:rFonts w:ascii="Times New Roman" w:hAnsi="Times New Roman" w:cs="Times New Roman"/>
          <w:noProof/>
          <w:color w:val="auto"/>
          <w:lang w:val="en-US"/>
        </w:rPr>
        <w:t xml:space="preserve"> </w:t>
      </w:r>
      <w:r w:rsidRPr="00D43831">
        <w:rPr>
          <w:rFonts w:ascii="Times New Roman" w:hAnsi="Times New Roman" w:cs="Times New Roman"/>
          <w:b/>
          <w:bCs/>
          <w:noProof/>
          <w:color w:val="auto"/>
          <w:lang w:val="en-US"/>
        </w:rPr>
        <w:t>23,</w:t>
      </w:r>
      <w:r w:rsidRPr="00D43831">
        <w:rPr>
          <w:rFonts w:ascii="Times New Roman" w:hAnsi="Times New Roman" w:cs="Times New Roman"/>
          <w:noProof/>
          <w:color w:val="auto"/>
          <w:lang w:val="en-US"/>
        </w:rPr>
        <w:t xml:space="preserve"> 1261–1268 (2010).</w:t>
      </w:r>
    </w:p>
    <w:p w14:paraId="515C9BFE" w14:textId="77777777" w:rsidR="00D35CCC" w:rsidRPr="00D43831" w:rsidRDefault="00D35CCC">
      <w:pPr>
        <w:widowControl w:val="0"/>
        <w:autoSpaceDE w:val="0"/>
        <w:autoSpaceDN w:val="0"/>
        <w:adjustRightInd w:val="0"/>
        <w:ind w:left="440" w:hanging="440"/>
        <w:rPr>
          <w:rFonts w:ascii="Times New Roman" w:hAnsi="Times New Roman" w:cs="Times New Roman"/>
          <w:noProof/>
          <w:color w:val="auto"/>
          <w:lang w:val="en-US"/>
        </w:rPr>
      </w:pPr>
      <w:r w:rsidRPr="00D43831">
        <w:rPr>
          <w:rFonts w:ascii="Times New Roman" w:hAnsi="Times New Roman" w:cs="Times New Roman"/>
          <w:noProof/>
          <w:color w:val="auto"/>
          <w:lang w:val="en-US"/>
        </w:rPr>
        <w:t>3.</w:t>
      </w:r>
      <w:r w:rsidRPr="00D43831">
        <w:rPr>
          <w:rFonts w:ascii="Times New Roman" w:hAnsi="Times New Roman" w:cs="Times New Roman"/>
          <w:noProof/>
          <w:color w:val="auto"/>
          <w:lang w:val="en-US"/>
        </w:rPr>
        <w:tab/>
        <w:t xml:space="preserve">Ashburner, M. </w:t>
      </w:r>
      <w:r w:rsidRPr="00D43831">
        <w:rPr>
          <w:rFonts w:ascii="Times New Roman" w:hAnsi="Times New Roman" w:cs="Times New Roman"/>
          <w:i/>
          <w:iCs/>
          <w:noProof/>
          <w:color w:val="auto"/>
          <w:lang w:val="en-US"/>
        </w:rPr>
        <w:t>et al.</w:t>
      </w:r>
      <w:r w:rsidRPr="00D43831">
        <w:rPr>
          <w:rFonts w:ascii="Times New Roman" w:hAnsi="Times New Roman" w:cs="Times New Roman"/>
          <w:noProof/>
          <w:color w:val="auto"/>
          <w:lang w:val="en-US"/>
        </w:rPr>
        <w:t xml:space="preserve"> Gene Ontology: tool for the unification of biology. </w:t>
      </w:r>
      <w:r w:rsidRPr="00D43831">
        <w:rPr>
          <w:rFonts w:ascii="Times New Roman" w:hAnsi="Times New Roman" w:cs="Times New Roman"/>
          <w:i/>
          <w:iCs/>
          <w:noProof/>
          <w:color w:val="auto"/>
          <w:lang w:val="en-US"/>
        </w:rPr>
        <w:t>Nat. Genet.</w:t>
      </w:r>
      <w:r w:rsidRPr="00D43831">
        <w:rPr>
          <w:rFonts w:ascii="Times New Roman" w:hAnsi="Times New Roman" w:cs="Times New Roman"/>
          <w:noProof/>
          <w:color w:val="auto"/>
          <w:lang w:val="en-US"/>
        </w:rPr>
        <w:t xml:space="preserve"> </w:t>
      </w:r>
      <w:r w:rsidRPr="00D43831">
        <w:rPr>
          <w:rFonts w:ascii="Times New Roman" w:hAnsi="Times New Roman" w:cs="Times New Roman"/>
          <w:b/>
          <w:bCs/>
          <w:noProof/>
          <w:color w:val="auto"/>
          <w:lang w:val="en-US"/>
        </w:rPr>
        <w:t>25,</w:t>
      </w:r>
      <w:r w:rsidRPr="00D43831">
        <w:rPr>
          <w:rFonts w:ascii="Times New Roman" w:hAnsi="Times New Roman" w:cs="Times New Roman"/>
          <w:noProof/>
          <w:color w:val="auto"/>
          <w:lang w:val="en-US"/>
        </w:rPr>
        <w:t xml:space="preserve"> 25–29 (2000).</w:t>
      </w:r>
    </w:p>
    <w:p w14:paraId="68D9313E" w14:textId="77777777" w:rsidR="00D35CCC" w:rsidRPr="00D43831" w:rsidRDefault="00D35CCC">
      <w:pPr>
        <w:widowControl w:val="0"/>
        <w:autoSpaceDE w:val="0"/>
        <w:autoSpaceDN w:val="0"/>
        <w:adjustRightInd w:val="0"/>
        <w:ind w:left="440" w:hanging="440"/>
        <w:rPr>
          <w:rFonts w:ascii="Times New Roman" w:hAnsi="Times New Roman" w:cs="Times New Roman"/>
          <w:noProof/>
          <w:color w:val="auto"/>
          <w:lang w:val="en-US"/>
        </w:rPr>
      </w:pPr>
      <w:r w:rsidRPr="00D43831">
        <w:rPr>
          <w:rFonts w:ascii="Times New Roman" w:hAnsi="Times New Roman" w:cs="Times New Roman"/>
          <w:noProof/>
          <w:color w:val="auto"/>
          <w:lang w:val="en-US"/>
        </w:rPr>
        <w:t>4.</w:t>
      </w:r>
      <w:r w:rsidRPr="00D43831">
        <w:rPr>
          <w:rFonts w:ascii="Times New Roman" w:hAnsi="Times New Roman" w:cs="Times New Roman"/>
          <w:noProof/>
          <w:color w:val="auto"/>
          <w:lang w:val="en-US"/>
        </w:rPr>
        <w:tab/>
        <w:t xml:space="preserve">The Gene Ontology Consortium. The Gene Ontology Resource: 20 years and still GOing strong. </w:t>
      </w:r>
      <w:r w:rsidRPr="00D43831">
        <w:rPr>
          <w:rFonts w:ascii="Times New Roman" w:hAnsi="Times New Roman" w:cs="Times New Roman"/>
          <w:i/>
          <w:iCs/>
          <w:noProof/>
          <w:color w:val="auto"/>
          <w:lang w:val="en-US"/>
        </w:rPr>
        <w:t>Nucleic Acids Res.</w:t>
      </w:r>
      <w:r w:rsidRPr="00D43831">
        <w:rPr>
          <w:rFonts w:ascii="Times New Roman" w:hAnsi="Times New Roman" w:cs="Times New Roman"/>
          <w:noProof/>
          <w:color w:val="auto"/>
          <w:lang w:val="en-US"/>
        </w:rPr>
        <w:t xml:space="preserve"> </w:t>
      </w:r>
      <w:r w:rsidRPr="00D43831">
        <w:rPr>
          <w:rFonts w:ascii="Times New Roman" w:hAnsi="Times New Roman" w:cs="Times New Roman"/>
          <w:b/>
          <w:bCs/>
          <w:noProof/>
          <w:color w:val="auto"/>
          <w:lang w:val="en-US"/>
        </w:rPr>
        <w:t>47,</w:t>
      </w:r>
      <w:r w:rsidRPr="00D43831">
        <w:rPr>
          <w:rFonts w:ascii="Times New Roman" w:hAnsi="Times New Roman" w:cs="Times New Roman"/>
          <w:noProof/>
          <w:color w:val="auto"/>
          <w:lang w:val="en-US"/>
        </w:rPr>
        <w:t xml:space="preserve"> D330–D338 (2019).</w:t>
      </w:r>
    </w:p>
    <w:p w14:paraId="6F430CC9" w14:textId="77777777" w:rsidR="00D35CCC" w:rsidRPr="00D43831" w:rsidRDefault="00D35CCC">
      <w:pPr>
        <w:widowControl w:val="0"/>
        <w:autoSpaceDE w:val="0"/>
        <w:autoSpaceDN w:val="0"/>
        <w:adjustRightInd w:val="0"/>
        <w:ind w:left="440" w:hanging="440"/>
        <w:rPr>
          <w:rFonts w:ascii="Times New Roman" w:hAnsi="Times New Roman" w:cs="Times New Roman"/>
          <w:noProof/>
          <w:color w:val="auto"/>
          <w:lang w:val="en-US"/>
        </w:rPr>
      </w:pPr>
      <w:r w:rsidRPr="00D43831">
        <w:rPr>
          <w:rFonts w:ascii="Times New Roman" w:hAnsi="Times New Roman" w:cs="Times New Roman"/>
          <w:noProof/>
          <w:color w:val="auto"/>
          <w:lang w:val="en-US"/>
        </w:rPr>
        <w:t>5.</w:t>
      </w:r>
      <w:r w:rsidRPr="00D43831">
        <w:rPr>
          <w:rFonts w:ascii="Times New Roman" w:hAnsi="Times New Roman" w:cs="Times New Roman"/>
          <w:noProof/>
          <w:color w:val="auto"/>
          <w:lang w:val="en-US"/>
        </w:rPr>
        <w:tab/>
        <w:t xml:space="preserve">Schaefer, C. F. </w:t>
      </w:r>
      <w:r w:rsidRPr="00D43831">
        <w:rPr>
          <w:rFonts w:ascii="Times New Roman" w:hAnsi="Times New Roman" w:cs="Times New Roman"/>
          <w:i/>
          <w:iCs/>
          <w:noProof/>
          <w:color w:val="auto"/>
          <w:lang w:val="en-US"/>
        </w:rPr>
        <w:t>et al.</w:t>
      </w:r>
      <w:r w:rsidRPr="00D43831">
        <w:rPr>
          <w:rFonts w:ascii="Times New Roman" w:hAnsi="Times New Roman" w:cs="Times New Roman"/>
          <w:noProof/>
          <w:color w:val="auto"/>
          <w:lang w:val="en-US"/>
        </w:rPr>
        <w:t xml:space="preserve"> PID: the pathway interaction database. </w:t>
      </w:r>
      <w:r w:rsidRPr="00D43831">
        <w:rPr>
          <w:rFonts w:ascii="Times New Roman" w:hAnsi="Times New Roman" w:cs="Times New Roman"/>
          <w:i/>
          <w:iCs/>
          <w:noProof/>
          <w:color w:val="auto"/>
          <w:lang w:val="en-US"/>
        </w:rPr>
        <w:t>Nucleic Acids Res.</w:t>
      </w:r>
      <w:r w:rsidRPr="00D43831">
        <w:rPr>
          <w:rFonts w:ascii="Times New Roman" w:hAnsi="Times New Roman" w:cs="Times New Roman"/>
          <w:noProof/>
          <w:color w:val="auto"/>
          <w:lang w:val="en-US"/>
        </w:rPr>
        <w:t xml:space="preserve"> </w:t>
      </w:r>
      <w:r w:rsidRPr="00D43831">
        <w:rPr>
          <w:rFonts w:ascii="Times New Roman" w:hAnsi="Times New Roman" w:cs="Times New Roman"/>
          <w:b/>
          <w:bCs/>
          <w:noProof/>
          <w:color w:val="auto"/>
          <w:lang w:val="en-US"/>
        </w:rPr>
        <w:t>37,</w:t>
      </w:r>
      <w:r w:rsidRPr="00D43831">
        <w:rPr>
          <w:rFonts w:ascii="Times New Roman" w:hAnsi="Times New Roman" w:cs="Times New Roman"/>
          <w:noProof/>
          <w:color w:val="auto"/>
          <w:lang w:val="en-US"/>
        </w:rPr>
        <w:t xml:space="preserve"> D674-9 (2009).</w:t>
      </w:r>
    </w:p>
    <w:p w14:paraId="7A4E5F1F" w14:textId="77777777" w:rsidR="00D35CCC" w:rsidRPr="00D43831" w:rsidRDefault="00D35CCC">
      <w:pPr>
        <w:widowControl w:val="0"/>
        <w:autoSpaceDE w:val="0"/>
        <w:autoSpaceDN w:val="0"/>
        <w:adjustRightInd w:val="0"/>
        <w:ind w:left="440" w:hanging="440"/>
        <w:rPr>
          <w:rFonts w:ascii="Times New Roman" w:hAnsi="Times New Roman" w:cs="Times New Roman"/>
          <w:noProof/>
          <w:color w:val="auto"/>
          <w:lang w:val="en-US"/>
        </w:rPr>
      </w:pPr>
      <w:r w:rsidRPr="00D43831">
        <w:rPr>
          <w:rFonts w:ascii="Times New Roman" w:hAnsi="Times New Roman" w:cs="Times New Roman"/>
          <w:noProof/>
          <w:color w:val="auto"/>
          <w:lang w:val="en-US"/>
        </w:rPr>
        <w:t>6.</w:t>
      </w:r>
      <w:r w:rsidRPr="00D43831">
        <w:rPr>
          <w:rFonts w:ascii="Times New Roman" w:hAnsi="Times New Roman" w:cs="Times New Roman"/>
          <w:noProof/>
          <w:color w:val="auto"/>
          <w:lang w:val="en-US"/>
        </w:rPr>
        <w:tab/>
        <w:t xml:space="preserve">Valentijn, L. J. </w:t>
      </w:r>
      <w:r w:rsidRPr="00D43831">
        <w:rPr>
          <w:rFonts w:ascii="Times New Roman" w:hAnsi="Times New Roman" w:cs="Times New Roman"/>
          <w:i/>
          <w:iCs/>
          <w:noProof/>
          <w:color w:val="auto"/>
          <w:lang w:val="en-US"/>
        </w:rPr>
        <w:t>et al.</w:t>
      </w:r>
      <w:r w:rsidRPr="00D43831">
        <w:rPr>
          <w:rFonts w:ascii="Times New Roman" w:hAnsi="Times New Roman" w:cs="Times New Roman"/>
          <w:noProof/>
          <w:color w:val="auto"/>
          <w:lang w:val="en-US"/>
        </w:rPr>
        <w:t xml:space="preserve"> Functional MYCN signature predicts outcome of neuroblastoma irrespective of MYCN amplification. </w:t>
      </w:r>
      <w:r w:rsidRPr="00D43831">
        <w:rPr>
          <w:rFonts w:ascii="Times New Roman" w:hAnsi="Times New Roman" w:cs="Times New Roman"/>
          <w:i/>
          <w:iCs/>
          <w:noProof/>
          <w:color w:val="auto"/>
          <w:lang w:val="en-US"/>
        </w:rPr>
        <w:t>Proc. Natl. Acad. Sci. USA</w:t>
      </w:r>
      <w:r w:rsidRPr="00D43831">
        <w:rPr>
          <w:rFonts w:ascii="Times New Roman" w:hAnsi="Times New Roman" w:cs="Times New Roman"/>
          <w:noProof/>
          <w:color w:val="auto"/>
          <w:lang w:val="en-US"/>
        </w:rPr>
        <w:t xml:space="preserve"> </w:t>
      </w:r>
      <w:r w:rsidRPr="00D43831">
        <w:rPr>
          <w:rFonts w:ascii="Times New Roman" w:hAnsi="Times New Roman" w:cs="Times New Roman"/>
          <w:b/>
          <w:bCs/>
          <w:noProof/>
          <w:color w:val="auto"/>
          <w:lang w:val="en-US"/>
        </w:rPr>
        <w:t>109,</w:t>
      </w:r>
      <w:r w:rsidRPr="00D43831">
        <w:rPr>
          <w:rFonts w:ascii="Times New Roman" w:hAnsi="Times New Roman" w:cs="Times New Roman"/>
          <w:noProof/>
          <w:color w:val="auto"/>
          <w:lang w:val="en-US"/>
        </w:rPr>
        <w:t xml:space="preserve"> 19190–19195 (2012).</w:t>
      </w:r>
    </w:p>
    <w:p w14:paraId="2BA41BE1" w14:textId="77777777" w:rsidR="00D35CCC" w:rsidRPr="00D43831" w:rsidRDefault="00D35CCC">
      <w:pPr>
        <w:widowControl w:val="0"/>
        <w:autoSpaceDE w:val="0"/>
        <w:autoSpaceDN w:val="0"/>
        <w:adjustRightInd w:val="0"/>
        <w:ind w:left="440" w:hanging="440"/>
        <w:rPr>
          <w:rFonts w:ascii="Times New Roman" w:hAnsi="Times New Roman" w:cs="Times New Roman"/>
          <w:noProof/>
          <w:color w:val="auto"/>
          <w:lang w:val="en-US"/>
        </w:rPr>
      </w:pPr>
      <w:r w:rsidRPr="00D43831">
        <w:rPr>
          <w:rFonts w:ascii="Times New Roman" w:hAnsi="Times New Roman" w:cs="Times New Roman"/>
          <w:noProof/>
          <w:color w:val="auto"/>
          <w:lang w:val="en-US"/>
        </w:rPr>
        <w:t>7.</w:t>
      </w:r>
      <w:r w:rsidRPr="00D43831">
        <w:rPr>
          <w:rFonts w:ascii="Times New Roman" w:hAnsi="Times New Roman" w:cs="Times New Roman"/>
          <w:noProof/>
          <w:color w:val="auto"/>
          <w:lang w:val="en-US"/>
        </w:rPr>
        <w:tab/>
        <w:t xml:space="preserve">Teshiba, R. </w:t>
      </w:r>
      <w:r w:rsidRPr="00D43831">
        <w:rPr>
          <w:rFonts w:ascii="Times New Roman" w:hAnsi="Times New Roman" w:cs="Times New Roman"/>
          <w:i/>
          <w:iCs/>
          <w:noProof/>
          <w:color w:val="auto"/>
          <w:lang w:val="en-US"/>
        </w:rPr>
        <w:t>et al.</w:t>
      </w:r>
      <w:r w:rsidRPr="00D43831">
        <w:rPr>
          <w:rFonts w:ascii="Times New Roman" w:hAnsi="Times New Roman" w:cs="Times New Roman"/>
          <w:noProof/>
          <w:color w:val="auto"/>
          <w:lang w:val="en-US"/>
        </w:rPr>
        <w:t xml:space="preserve"> Age-dependent prognostic effect by Mitosis-Karyorrhexis Index in neuroblastoma: a report from the Children’s Oncology Group. </w:t>
      </w:r>
      <w:r w:rsidRPr="00D43831">
        <w:rPr>
          <w:rFonts w:ascii="Times New Roman" w:hAnsi="Times New Roman" w:cs="Times New Roman"/>
          <w:i/>
          <w:iCs/>
          <w:noProof/>
          <w:color w:val="auto"/>
          <w:lang w:val="en-US"/>
        </w:rPr>
        <w:t>Pediatr. Dev. Pathol.</w:t>
      </w:r>
      <w:r w:rsidRPr="00D43831">
        <w:rPr>
          <w:rFonts w:ascii="Times New Roman" w:hAnsi="Times New Roman" w:cs="Times New Roman"/>
          <w:noProof/>
          <w:color w:val="auto"/>
          <w:lang w:val="en-US"/>
        </w:rPr>
        <w:t xml:space="preserve"> </w:t>
      </w:r>
      <w:r w:rsidRPr="00D43831">
        <w:rPr>
          <w:rFonts w:ascii="Times New Roman" w:hAnsi="Times New Roman" w:cs="Times New Roman"/>
          <w:b/>
          <w:bCs/>
          <w:noProof/>
          <w:color w:val="auto"/>
          <w:lang w:val="en-US"/>
        </w:rPr>
        <w:t>17,</w:t>
      </w:r>
      <w:r w:rsidRPr="00D43831">
        <w:rPr>
          <w:rFonts w:ascii="Times New Roman" w:hAnsi="Times New Roman" w:cs="Times New Roman"/>
          <w:noProof/>
          <w:color w:val="auto"/>
          <w:lang w:val="en-US"/>
        </w:rPr>
        <w:t xml:space="preserve"> 441–449 (2014).</w:t>
      </w:r>
    </w:p>
    <w:p w14:paraId="51CE44B4" w14:textId="77777777" w:rsidR="00D35CCC" w:rsidRPr="00D43831" w:rsidRDefault="00D35CCC">
      <w:pPr>
        <w:widowControl w:val="0"/>
        <w:autoSpaceDE w:val="0"/>
        <w:autoSpaceDN w:val="0"/>
        <w:adjustRightInd w:val="0"/>
        <w:ind w:left="440" w:hanging="440"/>
        <w:rPr>
          <w:rFonts w:ascii="Times New Roman" w:hAnsi="Times New Roman" w:cs="Times New Roman"/>
          <w:noProof/>
          <w:color w:val="auto"/>
          <w:lang w:val="en-US"/>
        </w:rPr>
      </w:pPr>
      <w:r w:rsidRPr="00D43831">
        <w:rPr>
          <w:rFonts w:ascii="Times New Roman" w:hAnsi="Times New Roman" w:cs="Times New Roman"/>
          <w:noProof/>
          <w:color w:val="auto"/>
          <w:lang w:val="en-US"/>
        </w:rPr>
        <w:t>8.</w:t>
      </w:r>
      <w:r w:rsidRPr="00D43831">
        <w:rPr>
          <w:rFonts w:ascii="Times New Roman" w:hAnsi="Times New Roman" w:cs="Times New Roman"/>
          <w:noProof/>
          <w:color w:val="auto"/>
          <w:lang w:val="en-US"/>
        </w:rPr>
        <w:tab/>
        <w:t xml:space="preserve">Valentijn, L. J. </w:t>
      </w:r>
      <w:r w:rsidRPr="00D43831">
        <w:rPr>
          <w:rFonts w:ascii="Times New Roman" w:hAnsi="Times New Roman" w:cs="Times New Roman"/>
          <w:i/>
          <w:iCs/>
          <w:noProof/>
          <w:color w:val="auto"/>
          <w:lang w:val="en-US"/>
        </w:rPr>
        <w:t>et al.</w:t>
      </w:r>
      <w:r w:rsidRPr="00D43831">
        <w:rPr>
          <w:rFonts w:ascii="Times New Roman" w:hAnsi="Times New Roman" w:cs="Times New Roman"/>
          <w:noProof/>
          <w:color w:val="auto"/>
          <w:lang w:val="en-US"/>
        </w:rPr>
        <w:t xml:space="preserve"> TERT rearrangements are frequent in neuroblastoma and identify aggressive tumors. </w:t>
      </w:r>
      <w:r w:rsidRPr="00D43831">
        <w:rPr>
          <w:rFonts w:ascii="Times New Roman" w:hAnsi="Times New Roman" w:cs="Times New Roman"/>
          <w:i/>
          <w:iCs/>
          <w:noProof/>
          <w:color w:val="auto"/>
          <w:lang w:val="en-US"/>
        </w:rPr>
        <w:t>Nat. Genet.</w:t>
      </w:r>
      <w:r w:rsidRPr="00D43831">
        <w:rPr>
          <w:rFonts w:ascii="Times New Roman" w:hAnsi="Times New Roman" w:cs="Times New Roman"/>
          <w:noProof/>
          <w:color w:val="auto"/>
          <w:lang w:val="en-US"/>
        </w:rPr>
        <w:t xml:space="preserve"> </w:t>
      </w:r>
      <w:r w:rsidRPr="00D43831">
        <w:rPr>
          <w:rFonts w:ascii="Times New Roman" w:hAnsi="Times New Roman" w:cs="Times New Roman"/>
          <w:b/>
          <w:bCs/>
          <w:noProof/>
          <w:color w:val="auto"/>
          <w:lang w:val="en-US"/>
        </w:rPr>
        <w:t>47,</w:t>
      </w:r>
      <w:r w:rsidRPr="00D43831">
        <w:rPr>
          <w:rFonts w:ascii="Times New Roman" w:hAnsi="Times New Roman" w:cs="Times New Roman"/>
          <w:noProof/>
          <w:color w:val="auto"/>
          <w:lang w:val="en-US"/>
        </w:rPr>
        <w:t xml:space="preserve"> 1411–1414 (2015).</w:t>
      </w:r>
    </w:p>
    <w:p w14:paraId="712E8F8B" w14:textId="77777777" w:rsidR="00D35CCC" w:rsidRPr="00D43831" w:rsidRDefault="00D35CCC">
      <w:pPr>
        <w:widowControl w:val="0"/>
        <w:autoSpaceDE w:val="0"/>
        <w:autoSpaceDN w:val="0"/>
        <w:adjustRightInd w:val="0"/>
        <w:ind w:left="440" w:hanging="440"/>
        <w:rPr>
          <w:rFonts w:ascii="Times New Roman" w:hAnsi="Times New Roman" w:cs="Times New Roman"/>
          <w:noProof/>
          <w:color w:val="auto"/>
          <w:lang w:val="en-US"/>
        </w:rPr>
      </w:pPr>
      <w:r w:rsidRPr="00D43831">
        <w:rPr>
          <w:rFonts w:ascii="Times New Roman" w:hAnsi="Times New Roman" w:cs="Times New Roman"/>
          <w:noProof/>
          <w:color w:val="auto"/>
          <w:lang w:val="en-US"/>
        </w:rPr>
        <w:t>9.</w:t>
      </w:r>
      <w:r w:rsidRPr="00D43831">
        <w:rPr>
          <w:rFonts w:ascii="Times New Roman" w:hAnsi="Times New Roman" w:cs="Times New Roman"/>
          <w:noProof/>
          <w:color w:val="auto"/>
          <w:lang w:val="en-US"/>
        </w:rPr>
        <w:tab/>
        <w:t xml:space="preserve">Duan, X.-F. &amp; Zhao, Q. TERT-mediated and ATRX-mediated Telomere Maintenance and Neuroblastoma. </w:t>
      </w:r>
      <w:r w:rsidRPr="00D43831">
        <w:rPr>
          <w:rFonts w:ascii="Times New Roman" w:hAnsi="Times New Roman" w:cs="Times New Roman"/>
          <w:i/>
          <w:iCs/>
          <w:noProof/>
          <w:color w:val="auto"/>
          <w:lang w:val="en-US"/>
        </w:rPr>
        <w:t>J. Pediatr. Hematol. Oncol.</w:t>
      </w:r>
      <w:r w:rsidRPr="00D43831">
        <w:rPr>
          <w:rFonts w:ascii="Times New Roman" w:hAnsi="Times New Roman" w:cs="Times New Roman"/>
          <w:noProof/>
          <w:color w:val="auto"/>
          <w:lang w:val="en-US"/>
        </w:rPr>
        <w:t xml:space="preserve"> </w:t>
      </w:r>
      <w:r w:rsidRPr="00D43831">
        <w:rPr>
          <w:rFonts w:ascii="Times New Roman" w:hAnsi="Times New Roman" w:cs="Times New Roman"/>
          <w:b/>
          <w:bCs/>
          <w:noProof/>
          <w:color w:val="auto"/>
          <w:lang w:val="en-US"/>
        </w:rPr>
        <w:t>40,</w:t>
      </w:r>
      <w:r w:rsidRPr="00D43831">
        <w:rPr>
          <w:rFonts w:ascii="Times New Roman" w:hAnsi="Times New Roman" w:cs="Times New Roman"/>
          <w:noProof/>
          <w:color w:val="auto"/>
          <w:lang w:val="en-US"/>
        </w:rPr>
        <w:t xml:space="preserve"> 1–6 (2018).</w:t>
      </w:r>
    </w:p>
    <w:p w14:paraId="2245C5C1" w14:textId="77777777" w:rsidR="00D35CCC" w:rsidRPr="00D43831" w:rsidRDefault="00D35CCC">
      <w:pPr>
        <w:widowControl w:val="0"/>
        <w:autoSpaceDE w:val="0"/>
        <w:autoSpaceDN w:val="0"/>
        <w:adjustRightInd w:val="0"/>
        <w:ind w:left="440" w:hanging="440"/>
        <w:rPr>
          <w:rFonts w:ascii="Times New Roman" w:hAnsi="Times New Roman" w:cs="Times New Roman"/>
          <w:noProof/>
          <w:color w:val="auto"/>
          <w:lang w:val="en-US"/>
        </w:rPr>
      </w:pPr>
      <w:r w:rsidRPr="00D43831">
        <w:rPr>
          <w:rFonts w:ascii="Times New Roman" w:hAnsi="Times New Roman" w:cs="Times New Roman"/>
          <w:noProof/>
          <w:color w:val="auto"/>
          <w:lang w:val="en-US"/>
        </w:rPr>
        <w:t>10.</w:t>
      </w:r>
      <w:r w:rsidRPr="00D43831">
        <w:rPr>
          <w:rFonts w:ascii="Times New Roman" w:hAnsi="Times New Roman" w:cs="Times New Roman"/>
          <w:noProof/>
          <w:color w:val="auto"/>
          <w:lang w:val="en-US"/>
        </w:rPr>
        <w:tab/>
        <w:t xml:space="preserve">Nabetani, A. &amp; Ishikawa, F. Alternative lengthening of telomeres pathway: recombination-mediated telomere maintenance mechanism in human cells. </w:t>
      </w:r>
      <w:r w:rsidRPr="00D43831">
        <w:rPr>
          <w:rFonts w:ascii="Times New Roman" w:hAnsi="Times New Roman" w:cs="Times New Roman"/>
          <w:i/>
          <w:iCs/>
          <w:noProof/>
          <w:color w:val="auto"/>
          <w:lang w:val="en-US"/>
        </w:rPr>
        <w:t>J. Biochem.</w:t>
      </w:r>
      <w:r w:rsidRPr="00D43831">
        <w:rPr>
          <w:rFonts w:ascii="Times New Roman" w:hAnsi="Times New Roman" w:cs="Times New Roman"/>
          <w:noProof/>
          <w:color w:val="auto"/>
          <w:lang w:val="en-US"/>
        </w:rPr>
        <w:t xml:space="preserve"> </w:t>
      </w:r>
      <w:r w:rsidRPr="00D43831">
        <w:rPr>
          <w:rFonts w:ascii="Times New Roman" w:hAnsi="Times New Roman" w:cs="Times New Roman"/>
          <w:b/>
          <w:bCs/>
          <w:noProof/>
          <w:color w:val="auto"/>
          <w:lang w:val="en-US"/>
        </w:rPr>
        <w:t>149,</w:t>
      </w:r>
      <w:r w:rsidRPr="00D43831">
        <w:rPr>
          <w:rFonts w:ascii="Times New Roman" w:hAnsi="Times New Roman" w:cs="Times New Roman"/>
          <w:noProof/>
          <w:color w:val="auto"/>
          <w:lang w:val="en-US"/>
        </w:rPr>
        <w:t xml:space="preserve"> 5–14 (2011).</w:t>
      </w:r>
    </w:p>
    <w:p w14:paraId="69C03322" w14:textId="77777777" w:rsidR="00D35CCC" w:rsidRPr="00D43831" w:rsidRDefault="00D35CCC">
      <w:pPr>
        <w:widowControl w:val="0"/>
        <w:autoSpaceDE w:val="0"/>
        <w:autoSpaceDN w:val="0"/>
        <w:adjustRightInd w:val="0"/>
        <w:ind w:left="440" w:hanging="440"/>
        <w:rPr>
          <w:rFonts w:ascii="Times New Roman" w:hAnsi="Times New Roman" w:cs="Times New Roman"/>
          <w:noProof/>
          <w:color w:val="auto"/>
          <w:lang w:val="en-US"/>
        </w:rPr>
      </w:pPr>
      <w:r w:rsidRPr="00D43831">
        <w:rPr>
          <w:rFonts w:ascii="Times New Roman" w:hAnsi="Times New Roman" w:cs="Times New Roman"/>
          <w:noProof/>
          <w:color w:val="auto"/>
          <w:lang w:val="en-US"/>
        </w:rPr>
        <w:lastRenderedPageBreak/>
        <w:t>11.</w:t>
      </w:r>
      <w:r w:rsidRPr="00D43831">
        <w:rPr>
          <w:rFonts w:ascii="Times New Roman" w:hAnsi="Times New Roman" w:cs="Times New Roman"/>
          <w:noProof/>
          <w:color w:val="auto"/>
          <w:lang w:val="en-US"/>
        </w:rPr>
        <w:tab/>
        <w:t xml:space="preserve">Jassal, B. </w:t>
      </w:r>
      <w:r w:rsidRPr="00D43831">
        <w:rPr>
          <w:rFonts w:ascii="Times New Roman" w:hAnsi="Times New Roman" w:cs="Times New Roman"/>
          <w:i/>
          <w:iCs/>
          <w:noProof/>
          <w:color w:val="auto"/>
          <w:lang w:val="en-US"/>
        </w:rPr>
        <w:t>et al.</w:t>
      </w:r>
      <w:r w:rsidRPr="00D43831">
        <w:rPr>
          <w:rFonts w:ascii="Times New Roman" w:hAnsi="Times New Roman" w:cs="Times New Roman"/>
          <w:noProof/>
          <w:color w:val="auto"/>
          <w:lang w:val="en-US"/>
        </w:rPr>
        <w:t xml:space="preserve"> The Reactome Pathway Knowledgebase. </w:t>
      </w:r>
      <w:r w:rsidRPr="00D43831">
        <w:rPr>
          <w:rFonts w:ascii="Times New Roman" w:hAnsi="Times New Roman" w:cs="Times New Roman"/>
          <w:i/>
          <w:iCs/>
          <w:noProof/>
          <w:color w:val="auto"/>
          <w:lang w:val="en-US"/>
        </w:rPr>
        <w:t>Nucleic Acids Res.</w:t>
      </w:r>
      <w:r w:rsidRPr="00D43831">
        <w:rPr>
          <w:rFonts w:ascii="Times New Roman" w:hAnsi="Times New Roman" w:cs="Times New Roman"/>
          <w:noProof/>
          <w:color w:val="auto"/>
          <w:lang w:val="en-US"/>
        </w:rPr>
        <w:t xml:space="preserve"> </w:t>
      </w:r>
      <w:r w:rsidRPr="00D43831">
        <w:rPr>
          <w:rFonts w:ascii="Times New Roman" w:hAnsi="Times New Roman" w:cs="Times New Roman"/>
          <w:b/>
          <w:bCs/>
          <w:noProof/>
          <w:color w:val="auto"/>
          <w:lang w:val="en-US"/>
        </w:rPr>
        <w:t>48,</w:t>
      </w:r>
      <w:r w:rsidRPr="00D43831">
        <w:rPr>
          <w:rFonts w:ascii="Times New Roman" w:hAnsi="Times New Roman" w:cs="Times New Roman"/>
          <w:noProof/>
          <w:color w:val="auto"/>
          <w:lang w:val="en-US"/>
        </w:rPr>
        <w:t xml:space="preserve"> D498–D503 (2020).</w:t>
      </w:r>
    </w:p>
    <w:p w14:paraId="0D769E22" w14:textId="77777777" w:rsidR="00D35CCC" w:rsidRPr="00D43831" w:rsidRDefault="00D35CCC">
      <w:pPr>
        <w:widowControl w:val="0"/>
        <w:autoSpaceDE w:val="0"/>
        <w:autoSpaceDN w:val="0"/>
        <w:adjustRightInd w:val="0"/>
        <w:ind w:left="440" w:hanging="440"/>
        <w:rPr>
          <w:rFonts w:ascii="Times New Roman" w:hAnsi="Times New Roman" w:cs="Times New Roman"/>
          <w:noProof/>
          <w:color w:val="auto"/>
          <w:lang w:val="en-US"/>
        </w:rPr>
      </w:pPr>
      <w:r w:rsidRPr="00D43831">
        <w:rPr>
          <w:rFonts w:ascii="Times New Roman" w:hAnsi="Times New Roman" w:cs="Times New Roman"/>
          <w:noProof/>
          <w:color w:val="auto"/>
          <w:lang w:val="en-US"/>
        </w:rPr>
        <w:t>12.</w:t>
      </w:r>
      <w:r w:rsidRPr="00D43831">
        <w:rPr>
          <w:rFonts w:ascii="Times New Roman" w:hAnsi="Times New Roman" w:cs="Times New Roman"/>
          <w:noProof/>
          <w:color w:val="auto"/>
          <w:lang w:val="en-US"/>
        </w:rPr>
        <w:tab/>
        <w:t xml:space="preserve">Fransson, S. </w:t>
      </w:r>
      <w:r w:rsidRPr="00D43831">
        <w:rPr>
          <w:rFonts w:ascii="Times New Roman" w:hAnsi="Times New Roman" w:cs="Times New Roman"/>
          <w:i/>
          <w:iCs/>
          <w:noProof/>
          <w:color w:val="auto"/>
          <w:lang w:val="en-US"/>
        </w:rPr>
        <w:t>et al.</w:t>
      </w:r>
      <w:r w:rsidRPr="00D43831">
        <w:rPr>
          <w:rFonts w:ascii="Times New Roman" w:hAnsi="Times New Roman" w:cs="Times New Roman"/>
          <w:noProof/>
          <w:color w:val="auto"/>
          <w:lang w:val="en-US"/>
        </w:rPr>
        <w:t xml:space="preserve"> Whole-genome sequencing of recurrent neuroblastoma reveals somatic mutations that affect key players in cancer progression and telomere maintenance. </w:t>
      </w:r>
      <w:r w:rsidRPr="00D43831">
        <w:rPr>
          <w:rFonts w:ascii="Times New Roman" w:hAnsi="Times New Roman" w:cs="Times New Roman"/>
          <w:i/>
          <w:iCs/>
          <w:noProof/>
          <w:color w:val="auto"/>
          <w:lang w:val="en-US"/>
        </w:rPr>
        <w:t>Sci. Rep.</w:t>
      </w:r>
      <w:r w:rsidRPr="00D43831">
        <w:rPr>
          <w:rFonts w:ascii="Times New Roman" w:hAnsi="Times New Roman" w:cs="Times New Roman"/>
          <w:noProof/>
          <w:color w:val="auto"/>
          <w:lang w:val="en-US"/>
        </w:rPr>
        <w:t xml:space="preserve"> </w:t>
      </w:r>
      <w:r w:rsidRPr="00D43831">
        <w:rPr>
          <w:rFonts w:ascii="Times New Roman" w:hAnsi="Times New Roman" w:cs="Times New Roman"/>
          <w:b/>
          <w:bCs/>
          <w:noProof/>
          <w:color w:val="auto"/>
          <w:lang w:val="en-US"/>
        </w:rPr>
        <w:t>10,</w:t>
      </w:r>
      <w:r w:rsidRPr="00D43831">
        <w:rPr>
          <w:rFonts w:ascii="Times New Roman" w:hAnsi="Times New Roman" w:cs="Times New Roman"/>
          <w:noProof/>
          <w:color w:val="auto"/>
          <w:lang w:val="en-US"/>
        </w:rPr>
        <w:t xml:space="preserve"> 22432 (2020).</w:t>
      </w:r>
    </w:p>
    <w:p w14:paraId="1A9D3EB8" w14:textId="77777777" w:rsidR="00D35CCC" w:rsidRPr="00D43831" w:rsidRDefault="00D35CCC">
      <w:pPr>
        <w:widowControl w:val="0"/>
        <w:autoSpaceDE w:val="0"/>
        <w:autoSpaceDN w:val="0"/>
        <w:adjustRightInd w:val="0"/>
        <w:ind w:left="440" w:hanging="440"/>
        <w:rPr>
          <w:rFonts w:ascii="Times New Roman" w:hAnsi="Times New Roman" w:cs="Times New Roman"/>
          <w:noProof/>
          <w:color w:val="auto"/>
          <w:lang w:val="en-US"/>
        </w:rPr>
      </w:pPr>
      <w:r w:rsidRPr="00D43831">
        <w:rPr>
          <w:rFonts w:ascii="Times New Roman" w:hAnsi="Times New Roman" w:cs="Times New Roman"/>
          <w:noProof/>
          <w:color w:val="auto"/>
          <w:lang w:val="en-US"/>
        </w:rPr>
        <w:t>13.</w:t>
      </w:r>
      <w:r w:rsidRPr="00D43831">
        <w:rPr>
          <w:rFonts w:ascii="Times New Roman" w:hAnsi="Times New Roman" w:cs="Times New Roman"/>
          <w:noProof/>
          <w:color w:val="auto"/>
          <w:lang w:val="en-US"/>
        </w:rPr>
        <w:tab/>
        <w:t xml:space="preserve">Westerlund, I., Shi, Y. &amp; Holmberg, J. EPAS1/HIF2α correlates with features of low-risk neuroblastoma and with adrenal chromaffin cell differentiation during sympathoadrenal development. </w:t>
      </w:r>
      <w:r w:rsidRPr="00D43831">
        <w:rPr>
          <w:rFonts w:ascii="Times New Roman" w:hAnsi="Times New Roman" w:cs="Times New Roman"/>
          <w:i/>
          <w:iCs/>
          <w:noProof/>
          <w:color w:val="auto"/>
          <w:lang w:val="en-US"/>
        </w:rPr>
        <w:t>Biochem. Biophys. Res. Commun.</w:t>
      </w:r>
      <w:r w:rsidRPr="00D43831">
        <w:rPr>
          <w:rFonts w:ascii="Times New Roman" w:hAnsi="Times New Roman" w:cs="Times New Roman"/>
          <w:noProof/>
          <w:color w:val="auto"/>
          <w:lang w:val="en-US"/>
        </w:rPr>
        <w:t xml:space="preserve"> </w:t>
      </w:r>
      <w:r w:rsidRPr="00D43831">
        <w:rPr>
          <w:rFonts w:ascii="Times New Roman" w:hAnsi="Times New Roman" w:cs="Times New Roman"/>
          <w:b/>
          <w:bCs/>
          <w:noProof/>
          <w:color w:val="auto"/>
          <w:lang w:val="en-US"/>
        </w:rPr>
        <w:t>508,</w:t>
      </w:r>
      <w:r w:rsidRPr="00D43831">
        <w:rPr>
          <w:rFonts w:ascii="Times New Roman" w:hAnsi="Times New Roman" w:cs="Times New Roman"/>
          <w:noProof/>
          <w:color w:val="auto"/>
          <w:lang w:val="en-US"/>
        </w:rPr>
        <w:t xml:space="preserve"> 1233–1239 (2019).</w:t>
      </w:r>
    </w:p>
    <w:p w14:paraId="1D7BCD72" w14:textId="77777777" w:rsidR="00D35CCC" w:rsidRPr="00D43831" w:rsidRDefault="00D35CCC">
      <w:pPr>
        <w:widowControl w:val="0"/>
        <w:autoSpaceDE w:val="0"/>
        <w:autoSpaceDN w:val="0"/>
        <w:adjustRightInd w:val="0"/>
        <w:ind w:left="440" w:hanging="440"/>
        <w:rPr>
          <w:rFonts w:ascii="Times New Roman" w:hAnsi="Times New Roman" w:cs="Times New Roman"/>
          <w:noProof/>
          <w:color w:val="auto"/>
          <w:lang w:val="en-US"/>
        </w:rPr>
      </w:pPr>
      <w:r w:rsidRPr="00D43831">
        <w:rPr>
          <w:rFonts w:ascii="Times New Roman" w:hAnsi="Times New Roman" w:cs="Times New Roman"/>
          <w:noProof/>
          <w:color w:val="auto"/>
          <w:lang w:val="en-US"/>
        </w:rPr>
        <w:t>14.</w:t>
      </w:r>
      <w:r w:rsidRPr="00D43831">
        <w:rPr>
          <w:rFonts w:ascii="Times New Roman" w:hAnsi="Times New Roman" w:cs="Times New Roman"/>
          <w:noProof/>
          <w:color w:val="auto"/>
          <w:lang w:val="en-US"/>
        </w:rPr>
        <w:tab/>
        <w:t xml:space="preserve">Olsson, M., Beck, S., Kogner, P., Martinsson, T. &amp; Carén, H. Genome-wide methylation profiling identifies novel methylated genes in neuroblastoma tumors. </w:t>
      </w:r>
      <w:r w:rsidRPr="00D43831">
        <w:rPr>
          <w:rFonts w:ascii="Times New Roman" w:hAnsi="Times New Roman" w:cs="Times New Roman"/>
          <w:i/>
          <w:iCs/>
          <w:noProof/>
          <w:color w:val="auto"/>
          <w:lang w:val="en-US"/>
        </w:rPr>
        <w:t>Epigenetics</w:t>
      </w:r>
      <w:r w:rsidRPr="00D43831">
        <w:rPr>
          <w:rFonts w:ascii="Times New Roman" w:hAnsi="Times New Roman" w:cs="Times New Roman"/>
          <w:noProof/>
          <w:color w:val="auto"/>
          <w:lang w:val="en-US"/>
        </w:rPr>
        <w:t xml:space="preserve"> </w:t>
      </w:r>
      <w:r w:rsidRPr="00D43831">
        <w:rPr>
          <w:rFonts w:ascii="Times New Roman" w:hAnsi="Times New Roman" w:cs="Times New Roman"/>
          <w:b/>
          <w:bCs/>
          <w:noProof/>
          <w:color w:val="auto"/>
          <w:lang w:val="en-US"/>
        </w:rPr>
        <w:t>11,</w:t>
      </w:r>
      <w:r w:rsidRPr="00D43831">
        <w:rPr>
          <w:rFonts w:ascii="Times New Roman" w:hAnsi="Times New Roman" w:cs="Times New Roman"/>
          <w:noProof/>
          <w:color w:val="auto"/>
          <w:lang w:val="en-US"/>
        </w:rPr>
        <w:t xml:space="preserve"> 74–84 (2016).</w:t>
      </w:r>
    </w:p>
    <w:p w14:paraId="31855586" w14:textId="77777777" w:rsidR="00D35CCC" w:rsidRPr="00D43831" w:rsidRDefault="00D35CCC">
      <w:pPr>
        <w:widowControl w:val="0"/>
        <w:autoSpaceDE w:val="0"/>
        <w:autoSpaceDN w:val="0"/>
        <w:adjustRightInd w:val="0"/>
        <w:ind w:left="440" w:hanging="440"/>
        <w:rPr>
          <w:rFonts w:ascii="Times New Roman" w:hAnsi="Times New Roman" w:cs="Times New Roman"/>
          <w:noProof/>
          <w:color w:val="auto"/>
          <w:lang w:val="en-US"/>
        </w:rPr>
      </w:pPr>
      <w:r w:rsidRPr="00D43831">
        <w:rPr>
          <w:rFonts w:ascii="Times New Roman" w:hAnsi="Times New Roman" w:cs="Times New Roman"/>
          <w:noProof/>
          <w:color w:val="auto"/>
          <w:lang w:val="en-US"/>
        </w:rPr>
        <w:t>15.</w:t>
      </w:r>
      <w:r w:rsidRPr="00D43831">
        <w:rPr>
          <w:rFonts w:ascii="Times New Roman" w:hAnsi="Times New Roman" w:cs="Times New Roman"/>
          <w:noProof/>
          <w:color w:val="auto"/>
          <w:lang w:val="en-US"/>
        </w:rPr>
        <w:tab/>
        <w:t xml:space="preserve">Ke, X.-X. </w:t>
      </w:r>
      <w:r w:rsidRPr="00D43831">
        <w:rPr>
          <w:rFonts w:ascii="Times New Roman" w:hAnsi="Times New Roman" w:cs="Times New Roman"/>
          <w:i/>
          <w:iCs/>
          <w:noProof/>
          <w:color w:val="auto"/>
          <w:lang w:val="en-US"/>
        </w:rPr>
        <w:t>et al.</w:t>
      </w:r>
      <w:r w:rsidRPr="00D43831">
        <w:rPr>
          <w:rFonts w:ascii="Times New Roman" w:hAnsi="Times New Roman" w:cs="Times New Roman"/>
          <w:noProof/>
          <w:color w:val="auto"/>
          <w:lang w:val="en-US"/>
        </w:rPr>
        <w:t xml:space="preserve"> Inhibition of H3K9 methyltransferase G9a repressed cell proliferation and induced autophagy in neuroblastoma cells. </w:t>
      </w:r>
      <w:r w:rsidRPr="00D43831">
        <w:rPr>
          <w:rFonts w:ascii="Times New Roman" w:hAnsi="Times New Roman" w:cs="Times New Roman"/>
          <w:i/>
          <w:iCs/>
          <w:noProof/>
          <w:color w:val="auto"/>
          <w:lang w:val="en-US"/>
        </w:rPr>
        <w:t>PLoS One</w:t>
      </w:r>
      <w:r w:rsidRPr="00D43831">
        <w:rPr>
          <w:rFonts w:ascii="Times New Roman" w:hAnsi="Times New Roman" w:cs="Times New Roman"/>
          <w:noProof/>
          <w:color w:val="auto"/>
          <w:lang w:val="en-US"/>
        </w:rPr>
        <w:t xml:space="preserve"> </w:t>
      </w:r>
      <w:r w:rsidRPr="00D43831">
        <w:rPr>
          <w:rFonts w:ascii="Times New Roman" w:hAnsi="Times New Roman" w:cs="Times New Roman"/>
          <w:b/>
          <w:bCs/>
          <w:noProof/>
          <w:color w:val="auto"/>
          <w:lang w:val="en-US"/>
        </w:rPr>
        <w:t>9,</w:t>
      </w:r>
      <w:r w:rsidRPr="00D43831">
        <w:rPr>
          <w:rFonts w:ascii="Times New Roman" w:hAnsi="Times New Roman" w:cs="Times New Roman"/>
          <w:noProof/>
          <w:color w:val="auto"/>
          <w:lang w:val="en-US"/>
        </w:rPr>
        <w:t xml:space="preserve"> e106962 (2014).</w:t>
      </w:r>
    </w:p>
    <w:p w14:paraId="632EB79D" w14:textId="77777777" w:rsidR="00D35CCC" w:rsidRPr="00D43831" w:rsidRDefault="00D35CCC">
      <w:pPr>
        <w:widowControl w:val="0"/>
        <w:autoSpaceDE w:val="0"/>
        <w:autoSpaceDN w:val="0"/>
        <w:adjustRightInd w:val="0"/>
        <w:ind w:left="440" w:hanging="440"/>
        <w:rPr>
          <w:rFonts w:ascii="Times New Roman" w:hAnsi="Times New Roman" w:cs="Times New Roman"/>
          <w:noProof/>
          <w:color w:val="auto"/>
          <w:lang w:val="en-US"/>
        </w:rPr>
      </w:pPr>
      <w:r w:rsidRPr="00D43831">
        <w:rPr>
          <w:rFonts w:ascii="Times New Roman" w:hAnsi="Times New Roman" w:cs="Times New Roman"/>
          <w:noProof/>
          <w:color w:val="auto"/>
          <w:lang w:val="en-US"/>
        </w:rPr>
        <w:t>16.</w:t>
      </w:r>
      <w:r w:rsidRPr="00D43831">
        <w:rPr>
          <w:rFonts w:ascii="Times New Roman" w:hAnsi="Times New Roman" w:cs="Times New Roman"/>
          <w:noProof/>
          <w:color w:val="auto"/>
          <w:lang w:val="en-US"/>
        </w:rPr>
        <w:tab/>
        <w:t xml:space="preserve">Durinck, K. &amp; Speleman, F. Epigenetic regulation of neuroblastoma development. </w:t>
      </w:r>
      <w:r w:rsidRPr="00D43831">
        <w:rPr>
          <w:rFonts w:ascii="Times New Roman" w:hAnsi="Times New Roman" w:cs="Times New Roman"/>
          <w:i/>
          <w:iCs/>
          <w:noProof/>
          <w:color w:val="auto"/>
          <w:lang w:val="en-US"/>
        </w:rPr>
        <w:t>Cell Tissue Res.</w:t>
      </w:r>
      <w:r w:rsidRPr="00D43831">
        <w:rPr>
          <w:rFonts w:ascii="Times New Roman" w:hAnsi="Times New Roman" w:cs="Times New Roman"/>
          <w:noProof/>
          <w:color w:val="auto"/>
          <w:lang w:val="en-US"/>
        </w:rPr>
        <w:t xml:space="preserve"> </w:t>
      </w:r>
      <w:r w:rsidRPr="00D43831">
        <w:rPr>
          <w:rFonts w:ascii="Times New Roman" w:hAnsi="Times New Roman" w:cs="Times New Roman"/>
          <w:b/>
          <w:bCs/>
          <w:noProof/>
          <w:color w:val="auto"/>
          <w:lang w:val="en-US"/>
        </w:rPr>
        <w:t>372,</w:t>
      </w:r>
      <w:r w:rsidRPr="00D43831">
        <w:rPr>
          <w:rFonts w:ascii="Times New Roman" w:hAnsi="Times New Roman" w:cs="Times New Roman"/>
          <w:noProof/>
          <w:color w:val="auto"/>
          <w:lang w:val="en-US"/>
        </w:rPr>
        <w:t xml:space="preserve"> 309–324 (2018).</w:t>
      </w:r>
    </w:p>
    <w:p w14:paraId="1246FC3F" w14:textId="77777777" w:rsidR="00D35CCC" w:rsidRPr="00D43831" w:rsidRDefault="00D35CCC">
      <w:pPr>
        <w:widowControl w:val="0"/>
        <w:autoSpaceDE w:val="0"/>
        <w:autoSpaceDN w:val="0"/>
        <w:adjustRightInd w:val="0"/>
        <w:ind w:left="440" w:hanging="440"/>
        <w:rPr>
          <w:rFonts w:ascii="Times New Roman" w:hAnsi="Times New Roman" w:cs="Times New Roman"/>
          <w:noProof/>
          <w:color w:val="auto"/>
          <w:lang w:val="en-US"/>
        </w:rPr>
      </w:pPr>
      <w:r w:rsidRPr="00D43831">
        <w:rPr>
          <w:rFonts w:ascii="Times New Roman" w:hAnsi="Times New Roman" w:cs="Times New Roman"/>
          <w:noProof/>
          <w:color w:val="auto"/>
          <w:lang w:val="en-US"/>
        </w:rPr>
        <w:t>17.</w:t>
      </w:r>
      <w:r w:rsidRPr="00D43831">
        <w:rPr>
          <w:rFonts w:ascii="Times New Roman" w:hAnsi="Times New Roman" w:cs="Times New Roman"/>
          <w:noProof/>
          <w:color w:val="auto"/>
          <w:lang w:val="en-US"/>
        </w:rPr>
        <w:tab/>
        <w:t xml:space="preserve">Nishimura, D. BioCarta. </w:t>
      </w:r>
      <w:r w:rsidRPr="00D43831">
        <w:rPr>
          <w:rFonts w:ascii="Times New Roman" w:hAnsi="Times New Roman" w:cs="Times New Roman"/>
          <w:i/>
          <w:iCs/>
          <w:noProof/>
          <w:color w:val="auto"/>
          <w:lang w:val="en-US"/>
        </w:rPr>
        <w:t>Biotech Software &amp; Internet Report</w:t>
      </w:r>
      <w:r w:rsidRPr="00D43831">
        <w:rPr>
          <w:rFonts w:ascii="Times New Roman" w:hAnsi="Times New Roman" w:cs="Times New Roman"/>
          <w:noProof/>
          <w:color w:val="auto"/>
          <w:lang w:val="en-US"/>
        </w:rPr>
        <w:t xml:space="preserve"> </w:t>
      </w:r>
      <w:r w:rsidRPr="00D43831">
        <w:rPr>
          <w:rFonts w:ascii="Times New Roman" w:hAnsi="Times New Roman" w:cs="Times New Roman"/>
          <w:b/>
          <w:bCs/>
          <w:noProof/>
          <w:color w:val="auto"/>
          <w:lang w:val="en-US"/>
        </w:rPr>
        <w:t>2,</w:t>
      </w:r>
      <w:r w:rsidRPr="00D43831">
        <w:rPr>
          <w:rFonts w:ascii="Times New Roman" w:hAnsi="Times New Roman" w:cs="Times New Roman"/>
          <w:noProof/>
          <w:color w:val="auto"/>
          <w:lang w:val="en-US"/>
        </w:rPr>
        <w:t xml:space="preserve"> 117–120 (2001).</w:t>
      </w:r>
    </w:p>
    <w:p w14:paraId="4847BA2E" w14:textId="77777777" w:rsidR="00D35CCC" w:rsidRPr="00D43831" w:rsidRDefault="00D35CCC">
      <w:pPr>
        <w:widowControl w:val="0"/>
        <w:autoSpaceDE w:val="0"/>
        <w:autoSpaceDN w:val="0"/>
        <w:adjustRightInd w:val="0"/>
        <w:ind w:left="440" w:hanging="440"/>
        <w:rPr>
          <w:rFonts w:ascii="Times New Roman" w:hAnsi="Times New Roman" w:cs="Times New Roman"/>
          <w:noProof/>
          <w:color w:val="auto"/>
          <w:lang w:val="en-US"/>
        </w:rPr>
      </w:pPr>
      <w:r w:rsidRPr="00D43831">
        <w:rPr>
          <w:rFonts w:ascii="Times New Roman" w:hAnsi="Times New Roman" w:cs="Times New Roman"/>
          <w:noProof/>
          <w:color w:val="auto"/>
          <w:lang w:val="en-US"/>
        </w:rPr>
        <w:t>18.</w:t>
      </w:r>
      <w:r w:rsidRPr="00D43831">
        <w:rPr>
          <w:rFonts w:ascii="Times New Roman" w:hAnsi="Times New Roman" w:cs="Times New Roman"/>
          <w:noProof/>
          <w:color w:val="auto"/>
          <w:lang w:val="en-US"/>
        </w:rPr>
        <w:tab/>
        <w:t xml:space="preserve">Corvetta, D. </w:t>
      </w:r>
      <w:r w:rsidRPr="00D43831">
        <w:rPr>
          <w:rFonts w:ascii="Times New Roman" w:hAnsi="Times New Roman" w:cs="Times New Roman"/>
          <w:i/>
          <w:iCs/>
          <w:noProof/>
          <w:color w:val="auto"/>
          <w:lang w:val="en-US"/>
        </w:rPr>
        <w:t>et al.</w:t>
      </w:r>
      <w:r w:rsidRPr="00D43831">
        <w:rPr>
          <w:rFonts w:ascii="Times New Roman" w:hAnsi="Times New Roman" w:cs="Times New Roman"/>
          <w:noProof/>
          <w:color w:val="auto"/>
          <w:lang w:val="en-US"/>
        </w:rPr>
        <w:t xml:space="preserve"> Physical interaction between MYCN oncogene and polycomb repressive complex 2 (PRC2) in neuroblastoma: functional and therapeutic implications. </w:t>
      </w:r>
      <w:r w:rsidRPr="00D43831">
        <w:rPr>
          <w:rFonts w:ascii="Times New Roman" w:hAnsi="Times New Roman" w:cs="Times New Roman"/>
          <w:i/>
          <w:iCs/>
          <w:noProof/>
          <w:color w:val="auto"/>
          <w:lang w:val="en-US"/>
        </w:rPr>
        <w:t>J. Biol. Chem.</w:t>
      </w:r>
      <w:r w:rsidRPr="00D43831">
        <w:rPr>
          <w:rFonts w:ascii="Times New Roman" w:hAnsi="Times New Roman" w:cs="Times New Roman"/>
          <w:noProof/>
          <w:color w:val="auto"/>
          <w:lang w:val="en-US"/>
        </w:rPr>
        <w:t xml:space="preserve"> </w:t>
      </w:r>
      <w:r w:rsidRPr="00D43831">
        <w:rPr>
          <w:rFonts w:ascii="Times New Roman" w:hAnsi="Times New Roman" w:cs="Times New Roman"/>
          <w:b/>
          <w:bCs/>
          <w:noProof/>
          <w:color w:val="auto"/>
          <w:lang w:val="en-US"/>
        </w:rPr>
        <w:t>288,</w:t>
      </w:r>
      <w:r w:rsidRPr="00D43831">
        <w:rPr>
          <w:rFonts w:ascii="Times New Roman" w:hAnsi="Times New Roman" w:cs="Times New Roman"/>
          <w:noProof/>
          <w:color w:val="auto"/>
          <w:lang w:val="en-US"/>
        </w:rPr>
        <w:t xml:space="preserve"> 8332–8341 (2013).</w:t>
      </w:r>
    </w:p>
    <w:p w14:paraId="02BE4085" w14:textId="77777777" w:rsidR="00D35CCC" w:rsidRPr="00D43831" w:rsidRDefault="00D35CCC">
      <w:pPr>
        <w:widowControl w:val="0"/>
        <w:autoSpaceDE w:val="0"/>
        <w:autoSpaceDN w:val="0"/>
        <w:adjustRightInd w:val="0"/>
        <w:ind w:left="440" w:hanging="440"/>
        <w:rPr>
          <w:rFonts w:ascii="Times New Roman" w:hAnsi="Times New Roman" w:cs="Times New Roman"/>
          <w:noProof/>
          <w:color w:val="auto"/>
          <w:lang w:val="en-US"/>
        </w:rPr>
      </w:pPr>
      <w:r w:rsidRPr="00D43831">
        <w:rPr>
          <w:rFonts w:ascii="Times New Roman" w:hAnsi="Times New Roman" w:cs="Times New Roman"/>
          <w:noProof/>
          <w:color w:val="auto"/>
          <w:lang w:val="en-US"/>
        </w:rPr>
        <w:t>19.</w:t>
      </w:r>
      <w:r w:rsidRPr="00D43831">
        <w:rPr>
          <w:rFonts w:ascii="Times New Roman" w:hAnsi="Times New Roman" w:cs="Times New Roman"/>
          <w:noProof/>
          <w:color w:val="auto"/>
          <w:lang w:val="en-US"/>
        </w:rPr>
        <w:tab/>
        <w:t xml:space="preserve">Tsubota, S. </w:t>
      </w:r>
      <w:r w:rsidRPr="00D43831">
        <w:rPr>
          <w:rFonts w:ascii="Times New Roman" w:hAnsi="Times New Roman" w:cs="Times New Roman"/>
          <w:i/>
          <w:iCs/>
          <w:noProof/>
          <w:color w:val="auto"/>
          <w:lang w:val="en-US"/>
        </w:rPr>
        <w:t>et al.</w:t>
      </w:r>
      <w:r w:rsidRPr="00D43831">
        <w:rPr>
          <w:rFonts w:ascii="Times New Roman" w:hAnsi="Times New Roman" w:cs="Times New Roman"/>
          <w:noProof/>
          <w:color w:val="auto"/>
          <w:lang w:val="en-US"/>
        </w:rPr>
        <w:t xml:space="preserve"> PRC2-Mediated Transcriptomic Alterations at the Embryonic Stage Govern Tumorigenesis and Clinical Outcome in MYCN-Driven Neuroblastoma. </w:t>
      </w:r>
      <w:r w:rsidRPr="00D43831">
        <w:rPr>
          <w:rFonts w:ascii="Times New Roman" w:hAnsi="Times New Roman" w:cs="Times New Roman"/>
          <w:i/>
          <w:iCs/>
          <w:noProof/>
          <w:color w:val="auto"/>
          <w:lang w:val="en-US"/>
        </w:rPr>
        <w:t>Cancer Res.</w:t>
      </w:r>
      <w:r w:rsidRPr="00D43831">
        <w:rPr>
          <w:rFonts w:ascii="Times New Roman" w:hAnsi="Times New Roman" w:cs="Times New Roman"/>
          <w:noProof/>
          <w:color w:val="auto"/>
          <w:lang w:val="en-US"/>
        </w:rPr>
        <w:t xml:space="preserve"> </w:t>
      </w:r>
      <w:r w:rsidRPr="00D43831">
        <w:rPr>
          <w:rFonts w:ascii="Times New Roman" w:hAnsi="Times New Roman" w:cs="Times New Roman"/>
          <w:b/>
          <w:bCs/>
          <w:noProof/>
          <w:color w:val="auto"/>
          <w:lang w:val="en-US"/>
        </w:rPr>
        <w:t>77,</w:t>
      </w:r>
      <w:r w:rsidRPr="00D43831">
        <w:rPr>
          <w:rFonts w:ascii="Times New Roman" w:hAnsi="Times New Roman" w:cs="Times New Roman"/>
          <w:noProof/>
          <w:color w:val="auto"/>
          <w:lang w:val="en-US"/>
        </w:rPr>
        <w:t xml:space="preserve"> 5259–5271 (2017).</w:t>
      </w:r>
    </w:p>
    <w:p w14:paraId="57BDDE92" w14:textId="77777777" w:rsidR="00D35CCC" w:rsidRPr="00D43831" w:rsidRDefault="00D35CCC">
      <w:pPr>
        <w:widowControl w:val="0"/>
        <w:autoSpaceDE w:val="0"/>
        <w:autoSpaceDN w:val="0"/>
        <w:adjustRightInd w:val="0"/>
        <w:ind w:left="440" w:hanging="440"/>
        <w:rPr>
          <w:rFonts w:ascii="Times New Roman" w:hAnsi="Times New Roman" w:cs="Times New Roman"/>
          <w:noProof/>
          <w:color w:val="auto"/>
          <w:lang w:val="en-US"/>
        </w:rPr>
      </w:pPr>
      <w:r w:rsidRPr="00D43831">
        <w:rPr>
          <w:rFonts w:ascii="Times New Roman" w:hAnsi="Times New Roman" w:cs="Times New Roman"/>
          <w:noProof/>
          <w:color w:val="auto"/>
          <w:lang w:val="en-US"/>
        </w:rPr>
        <w:t>20.</w:t>
      </w:r>
      <w:r w:rsidRPr="00D43831">
        <w:rPr>
          <w:rFonts w:ascii="Times New Roman" w:hAnsi="Times New Roman" w:cs="Times New Roman"/>
          <w:noProof/>
          <w:color w:val="auto"/>
          <w:lang w:val="en-US"/>
        </w:rPr>
        <w:tab/>
        <w:t xml:space="preserve">Chen, L. </w:t>
      </w:r>
      <w:r w:rsidRPr="00D43831">
        <w:rPr>
          <w:rFonts w:ascii="Times New Roman" w:hAnsi="Times New Roman" w:cs="Times New Roman"/>
          <w:i/>
          <w:iCs/>
          <w:noProof/>
          <w:color w:val="auto"/>
          <w:lang w:val="en-US"/>
        </w:rPr>
        <w:t>et al.</w:t>
      </w:r>
      <w:r w:rsidRPr="00D43831">
        <w:rPr>
          <w:rFonts w:ascii="Times New Roman" w:hAnsi="Times New Roman" w:cs="Times New Roman"/>
          <w:noProof/>
          <w:color w:val="auto"/>
          <w:lang w:val="en-US"/>
        </w:rPr>
        <w:t xml:space="preserve"> CRISPR-Cas9 screen reveals a </w:t>
      </w:r>
      <w:r w:rsidRPr="00D43831">
        <w:rPr>
          <w:rFonts w:ascii="Times New Roman" w:hAnsi="Times New Roman" w:cs="Times New Roman"/>
          <w:i/>
          <w:iCs/>
          <w:noProof/>
          <w:color w:val="auto"/>
          <w:lang w:val="en-US"/>
        </w:rPr>
        <w:t>MYCN</w:t>
      </w:r>
      <w:r w:rsidRPr="00D43831">
        <w:rPr>
          <w:rFonts w:ascii="Times New Roman" w:hAnsi="Times New Roman" w:cs="Times New Roman"/>
          <w:noProof/>
          <w:color w:val="auto"/>
          <w:lang w:val="en-US"/>
        </w:rPr>
        <w:t xml:space="preserve">-amplified neuroblastoma dependency on EZH2. </w:t>
      </w:r>
      <w:r w:rsidRPr="00D43831">
        <w:rPr>
          <w:rFonts w:ascii="Times New Roman" w:hAnsi="Times New Roman" w:cs="Times New Roman"/>
          <w:i/>
          <w:iCs/>
          <w:noProof/>
          <w:color w:val="auto"/>
          <w:lang w:val="en-US"/>
        </w:rPr>
        <w:t>J. Clin. Invest.</w:t>
      </w:r>
      <w:r w:rsidRPr="00D43831">
        <w:rPr>
          <w:rFonts w:ascii="Times New Roman" w:hAnsi="Times New Roman" w:cs="Times New Roman"/>
          <w:noProof/>
          <w:color w:val="auto"/>
          <w:lang w:val="en-US"/>
        </w:rPr>
        <w:t xml:space="preserve"> (2018).</w:t>
      </w:r>
    </w:p>
    <w:p w14:paraId="2A105FFC" w14:textId="77777777" w:rsidR="00D35CCC" w:rsidRPr="00D43831" w:rsidRDefault="00D35CCC">
      <w:pPr>
        <w:widowControl w:val="0"/>
        <w:autoSpaceDE w:val="0"/>
        <w:autoSpaceDN w:val="0"/>
        <w:adjustRightInd w:val="0"/>
        <w:ind w:left="440" w:hanging="440"/>
        <w:rPr>
          <w:rFonts w:ascii="Times New Roman" w:hAnsi="Times New Roman" w:cs="Times New Roman"/>
          <w:noProof/>
          <w:color w:val="auto"/>
          <w:lang w:val="en-US"/>
        </w:rPr>
      </w:pPr>
      <w:r w:rsidRPr="00D43831">
        <w:rPr>
          <w:rFonts w:ascii="Times New Roman" w:hAnsi="Times New Roman" w:cs="Times New Roman"/>
          <w:noProof/>
          <w:color w:val="auto"/>
          <w:lang w:val="en-US"/>
        </w:rPr>
        <w:t>21.</w:t>
      </w:r>
      <w:r w:rsidRPr="00D43831">
        <w:rPr>
          <w:rFonts w:ascii="Times New Roman" w:hAnsi="Times New Roman" w:cs="Times New Roman"/>
          <w:noProof/>
          <w:color w:val="auto"/>
          <w:lang w:val="en-US"/>
        </w:rPr>
        <w:tab/>
        <w:t xml:space="preserve">Yang, X. H., Tang, F., Shin, J. &amp; Cunningham, J. M. Incorporating genomic, transcriptomic and clinical data: a prognostic and stem cell-like MYC and PRC imbalance in high-risk neuroblastoma. </w:t>
      </w:r>
      <w:r w:rsidRPr="00D43831">
        <w:rPr>
          <w:rFonts w:ascii="Times New Roman" w:hAnsi="Times New Roman" w:cs="Times New Roman"/>
          <w:i/>
          <w:iCs/>
          <w:noProof/>
          <w:color w:val="auto"/>
          <w:lang w:val="en-US"/>
        </w:rPr>
        <w:t>BMC Syst. Biol.</w:t>
      </w:r>
      <w:r w:rsidRPr="00D43831">
        <w:rPr>
          <w:rFonts w:ascii="Times New Roman" w:hAnsi="Times New Roman" w:cs="Times New Roman"/>
          <w:noProof/>
          <w:color w:val="auto"/>
          <w:lang w:val="en-US"/>
        </w:rPr>
        <w:t xml:space="preserve"> </w:t>
      </w:r>
      <w:r w:rsidRPr="00D43831">
        <w:rPr>
          <w:rFonts w:ascii="Times New Roman" w:hAnsi="Times New Roman" w:cs="Times New Roman"/>
          <w:b/>
          <w:bCs/>
          <w:noProof/>
          <w:color w:val="auto"/>
          <w:lang w:val="en-US"/>
        </w:rPr>
        <w:t>11,</w:t>
      </w:r>
      <w:r w:rsidRPr="00D43831">
        <w:rPr>
          <w:rFonts w:ascii="Times New Roman" w:hAnsi="Times New Roman" w:cs="Times New Roman"/>
          <w:noProof/>
          <w:color w:val="auto"/>
          <w:lang w:val="en-US"/>
        </w:rPr>
        <w:t xml:space="preserve"> 92 (2017).</w:t>
      </w:r>
    </w:p>
    <w:p w14:paraId="513F01F7" w14:textId="77777777" w:rsidR="00D35CCC" w:rsidRPr="00D43831" w:rsidRDefault="00D35CCC">
      <w:pPr>
        <w:widowControl w:val="0"/>
        <w:autoSpaceDE w:val="0"/>
        <w:autoSpaceDN w:val="0"/>
        <w:adjustRightInd w:val="0"/>
        <w:ind w:left="440" w:hanging="440"/>
        <w:rPr>
          <w:rFonts w:ascii="Times New Roman" w:hAnsi="Times New Roman" w:cs="Times New Roman"/>
          <w:noProof/>
          <w:color w:val="auto"/>
          <w:lang w:val="en-US"/>
        </w:rPr>
      </w:pPr>
      <w:r w:rsidRPr="00D43831">
        <w:rPr>
          <w:rFonts w:ascii="Times New Roman" w:hAnsi="Times New Roman" w:cs="Times New Roman"/>
          <w:noProof/>
          <w:color w:val="auto"/>
          <w:lang w:val="en-US"/>
        </w:rPr>
        <w:t>22.</w:t>
      </w:r>
      <w:r w:rsidRPr="00D43831">
        <w:rPr>
          <w:rFonts w:ascii="Times New Roman" w:hAnsi="Times New Roman" w:cs="Times New Roman"/>
          <w:noProof/>
          <w:color w:val="auto"/>
          <w:lang w:val="en-US"/>
        </w:rPr>
        <w:tab/>
        <w:t xml:space="preserve">Brady, S. W. </w:t>
      </w:r>
      <w:r w:rsidRPr="00D43831">
        <w:rPr>
          <w:rFonts w:ascii="Times New Roman" w:hAnsi="Times New Roman" w:cs="Times New Roman"/>
          <w:i/>
          <w:iCs/>
          <w:noProof/>
          <w:color w:val="auto"/>
          <w:lang w:val="en-US"/>
        </w:rPr>
        <w:t>et al.</w:t>
      </w:r>
      <w:r w:rsidRPr="00D43831">
        <w:rPr>
          <w:rFonts w:ascii="Times New Roman" w:hAnsi="Times New Roman" w:cs="Times New Roman"/>
          <w:noProof/>
          <w:color w:val="auto"/>
          <w:lang w:val="en-US"/>
        </w:rPr>
        <w:t xml:space="preserve"> Pan-neuroblastoma analysis reveals age- and signature-associated driver alterations. </w:t>
      </w:r>
      <w:r w:rsidRPr="00D43831">
        <w:rPr>
          <w:rFonts w:ascii="Times New Roman" w:hAnsi="Times New Roman" w:cs="Times New Roman"/>
          <w:i/>
          <w:iCs/>
          <w:noProof/>
          <w:color w:val="auto"/>
          <w:lang w:val="en-US"/>
        </w:rPr>
        <w:t>Nat. Commun.</w:t>
      </w:r>
      <w:r w:rsidRPr="00D43831">
        <w:rPr>
          <w:rFonts w:ascii="Times New Roman" w:hAnsi="Times New Roman" w:cs="Times New Roman"/>
          <w:noProof/>
          <w:color w:val="auto"/>
          <w:lang w:val="en-US"/>
        </w:rPr>
        <w:t xml:space="preserve"> </w:t>
      </w:r>
      <w:r w:rsidRPr="00D43831">
        <w:rPr>
          <w:rFonts w:ascii="Times New Roman" w:hAnsi="Times New Roman" w:cs="Times New Roman"/>
          <w:b/>
          <w:bCs/>
          <w:noProof/>
          <w:color w:val="auto"/>
          <w:lang w:val="en-US"/>
        </w:rPr>
        <w:t>11,</w:t>
      </w:r>
      <w:r w:rsidRPr="00D43831">
        <w:rPr>
          <w:rFonts w:ascii="Times New Roman" w:hAnsi="Times New Roman" w:cs="Times New Roman"/>
          <w:noProof/>
          <w:color w:val="auto"/>
          <w:lang w:val="en-US"/>
        </w:rPr>
        <w:t xml:space="preserve"> 5183 (2020).</w:t>
      </w:r>
    </w:p>
    <w:p w14:paraId="793B3C24" w14:textId="77777777" w:rsidR="00D35CCC" w:rsidRPr="00D43831" w:rsidRDefault="00D35CCC">
      <w:pPr>
        <w:widowControl w:val="0"/>
        <w:autoSpaceDE w:val="0"/>
        <w:autoSpaceDN w:val="0"/>
        <w:adjustRightInd w:val="0"/>
        <w:ind w:left="440" w:hanging="440"/>
        <w:rPr>
          <w:rFonts w:ascii="Times New Roman" w:hAnsi="Times New Roman" w:cs="Times New Roman"/>
          <w:noProof/>
          <w:color w:val="auto"/>
          <w:lang w:val="en-US"/>
        </w:rPr>
      </w:pPr>
      <w:r w:rsidRPr="00D43831">
        <w:rPr>
          <w:rFonts w:ascii="Times New Roman" w:hAnsi="Times New Roman" w:cs="Times New Roman"/>
          <w:noProof/>
          <w:color w:val="auto"/>
          <w:lang w:val="en-US"/>
        </w:rPr>
        <w:t>23.</w:t>
      </w:r>
      <w:r w:rsidRPr="00D43831">
        <w:rPr>
          <w:rFonts w:ascii="Times New Roman" w:hAnsi="Times New Roman" w:cs="Times New Roman"/>
          <w:noProof/>
          <w:color w:val="auto"/>
          <w:lang w:val="en-US"/>
        </w:rPr>
        <w:tab/>
        <w:t xml:space="preserve">Kucab, J. E. </w:t>
      </w:r>
      <w:r w:rsidRPr="00D43831">
        <w:rPr>
          <w:rFonts w:ascii="Times New Roman" w:hAnsi="Times New Roman" w:cs="Times New Roman"/>
          <w:i/>
          <w:iCs/>
          <w:noProof/>
          <w:color w:val="auto"/>
          <w:lang w:val="en-US"/>
        </w:rPr>
        <w:t>et al.</w:t>
      </w:r>
      <w:r w:rsidRPr="00D43831">
        <w:rPr>
          <w:rFonts w:ascii="Times New Roman" w:hAnsi="Times New Roman" w:cs="Times New Roman"/>
          <w:noProof/>
          <w:color w:val="auto"/>
          <w:lang w:val="en-US"/>
        </w:rPr>
        <w:t xml:space="preserve"> A compendium of mutational signatures of environmental agents. </w:t>
      </w:r>
      <w:r w:rsidRPr="00D43831">
        <w:rPr>
          <w:rFonts w:ascii="Times New Roman" w:hAnsi="Times New Roman" w:cs="Times New Roman"/>
          <w:i/>
          <w:iCs/>
          <w:noProof/>
          <w:color w:val="auto"/>
          <w:lang w:val="en-US"/>
        </w:rPr>
        <w:t>Cell</w:t>
      </w:r>
      <w:r w:rsidRPr="00D43831">
        <w:rPr>
          <w:rFonts w:ascii="Times New Roman" w:hAnsi="Times New Roman" w:cs="Times New Roman"/>
          <w:noProof/>
          <w:color w:val="auto"/>
          <w:lang w:val="en-US"/>
        </w:rPr>
        <w:t xml:space="preserve"> </w:t>
      </w:r>
      <w:r w:rsidRPr="00D43831">
        <w:rPr>
          <w:rFonts w:ascii="Times New Roman" w:hAnsi="Times New Roman" w:cs="Times New Roman"/>
          <w:b/>
          <w:bCs/>
          <w:noProof/>
          <w:color w:val="auto"/>
          <w:lang w:val="en-US"/>
        </w:rPr>
        <w:t>177,</w:t>
      </w:r>
      <w:r w:rsidRPr="00D43831">
        <w:rPr>
          <w:rFonts w:ascii="Times New Roman" w:hAnsi="Times New Roman" w:cs="Times New Roman"/>
          <w:noProof/>
          <w:color w:val="auto"/>
          <w:lang w:val="en-US"/>
        </w:rPr>
        <w:t xml:space="preserve"> 821–836.e16 (2019).</w:t>
      </w:r>
    </w:p>
    <w:p w14:paraId="707F21FE" w14:textId="77777777" w:rsidR="00D35CCC" w:rsidRPr="00D43831" w:rsidRDefault="00D35CCC">
      <w:pPr>
        <w:widowControl w:val="0"/>
        <w:autoSpaceDE w:val="0"/>
        <w:autoSpaceDN w:val="0"/>
        <w:adjustRightInd w:val="0"/>
        <w:ind w:left="440" w:hanging="440"/>
        <w:rPr>
          <w:rFonts w:ascii="Times New Roman" w:hAnsi="Times New Roman" w:cs="Times New Roman"/>
          <w:noProof/>
          <w:color w:val="auto"/>
          <w:lang w:val="en-US"/>
        </w:rPr>
      </w:pPr>
      <w:r w:rsidRPr="00D43831">
        <w:rPr>
          <w:rFonts w:ascii="Times New Roman" w:hAnsi="Times New Roman" w:cs="Times New Roman"/>
          <w:noProof/>
          <w:color w:val="auto"/>
          <w:lang w:val="en-US"/>
        </w:rPr>
        <w:t>24.</w:t>
      </w:r>
      <w:r w:rsidRPr="00D43831">
        <w:rPr>
          <w:rFonts w:ascii="Times New Roman" w:hAnsi="Times New Roman" w:cs="Times New Roman"/>
          <w:noProof/>
          <w:color w:val="auto"/>
          <w:lang w:val="en-US"/>
        </w:rPr>
        <w:tab/>
        <w:t xml:space="preserve">Yates, A. D. </w:t>
      </w:r>
      <w:r w:rsidRPr="00D43831">
        <w:rPr>
          <w:rFonts w:ascii="Times New Roman" w:hAnsi="Times New Roman" w:cs="Times New Roman"/>
          <w:i/>
          <w:iCs/>
          <w:noProof/>
          <w:color w:val="auto"/>
          <w:lang w:val="en-US"/>
        </w:rPr>
        <w:t>et al.</w:t>
      </w:r>
      <w:r w:rsidRPr="00D43831">
        <w:rPr>
          <w:rFonts w:ascii="Times New Roman" w:hAnsi="Times New Roman" w:cs="Times New Roman"/>
          <w:noProof/>
          <w:color w:val="auto"/>
          <w:lang w:val="en-US"/>
        </w:rPr>
        <w:t xml:space="preserve"> Ensembl 2020. </w:t>
      </w:r>
      <w:r w:rsidRPr="00D43831">
        <w:rPr>
          <w:rFonts w:ascii="Times New Roman" w:hAnsi="Times New Roman" w:cs="Times New Roman"/>
          <w:i/>
          <w:iCs/>
          <w:noProof/>
          <w:color w:val="auto"/>
          <w:lang w:val="en-US"/>
        </w:rPr>
        <w:t>Nucleic Acids Res.</w:t>
      </w:r>
      <w:r w:rsidRPr="00D43831">
        <w:rPr>
          <w:rFonts w:ascii="Times New Roman" w:hAnsi="Times New Roman" w:cs="Times New Roman"/>
          <w:noProof/>
          <w:color w:val="auto"/>
          <w:lang w:val="en-US"/>
        </w:rPr>
        <w:t xml:space="preserve"> </w:t>
      </w:r>
      <w:r w:rsidRPr="00D43831">
        <w:rPr>
          <w:rFonts w:ascii="Times New Roman" w:hAnsi="Times New Roman" w:cs="Times New Roman"/>
          <w:b/>
          <w:bCs/>
          <w:noProof/>
          <w:color w:val="auto"/>
          <w:lang w:val="en-US"/>
        </w:rPr>
        <w:t>48,</w:t>
      </w:r>
      <w:r w:rsidRPr="00D43831">
        <w:rPr>
          <w:rFonts w:ascii="Times New Roman" w:hAnsi="Times New Roman" w:cs="Times New Roman"/>
          <w:noProof/>
          <w:color w:val="auto"/>
          <w:lang w:val="en-US"/>
        </w:rPr>
        <w:t xml:space="preserve"> D682–D688 (2020).</w:t>
      </w:r>
    </w:p>
    <w:p w14:paraId="58480349" w14:textId="77777777" w:rsidR="00D35CCC" w:rsidRPr="00D43831" w:rsidRDefault="00D35CCC">
      <w:pPr>
        <w:widowControl w:val="0"/>
        <w:autoSpaceDE w:val="0"/>
        <w:autoSpaceDN w:val="0"/>
        <w:adjustRightInd w:val="0"/>
        <w:ind w:left="440" w:hanging="440"/>
        <w:rPr>
          <w:rFonts w:ascii="Times New Roman" w:hAnsi="Times New Roman" w:cs="Times New Roman"/>
          <w:noProof/>
          <w:color w:val="auto"/>
          <w:lang w:val="en-US"/>
        </w:rPr>
      </w:pPr>
      <w:r w:rsidRPr="00D43831">
        <w:rPr>
          <w:rFonts w:ascii="Times New Roman" w:hAnsi="Times New Roman" w:cs="Times New Roman"/>
          <w:noProof/>
          <w:color w:val="auto"/>
          <w:lang w:val="en-US"/>
        </w:rPr>
        <w:t>25.</w:t>
      </w:r>
      <w:r w:rsidRPr="00D43831">
        <w:rPr>
          <w:rFonts w:ascii="Times New Roman" w:hAnsi="Times New Roman" w:cs="Times New Roman"/>
          <w:noProof/>
          <w:color w:val="auto"/>
          <w:lang w:val="en-US"/>
        </w:rPr>
        <w:tab/>
        <w:t xml:space="preserve">Roderwieser, A. </w:t>
      </w:r>
      <w:r w:rsidRPr="00D43831">
        <w:rPr>
          <w:rFonts w:ascii="Times New Roman" w:hAnsi="Times New Roman" w:cs="Times New Roman"/>
          <w:i/>
          <w:iCs/>
          <w:noProof/>
          <w:color w:val="auto"/>
          <w:lang w:val="en-US"/>
        </w:rPr>
        <w:t>et al.</w:t>
      </w:r>
      <w:r w:rsidRPr="00D43831">
        <w:rPr>
          <w:rFonts w:ascii="Times New Roman" w:hAnsi="Times New Roman" w:cs="Times New Roman"/>
          <w:noProof/>
          <w:color w:val="auto"/>
          <w:lang w:val="en-US"/>
        </w:rPr>
        <w:t xml:space="preserve"> Telomerase is a prognostic marker of poor outcome and a therapeutic target in neuroblastoma. </w:t>
      </w:r>
      <w:r w:rsidRPr="00D43831">
        <w:rPr>
          <w:rFonts w:ascii="Times New Roman" w:hAnsi="Times New Roman" w:cs="Times New Roman"/>
          <w:i/>
          <w:iCs/>
          <w:noProof/>
          <w:color w:val="auto"/>
          <w:lang w:val="en-US"/>
        </w:rPr>
        <w:t>JCO Precis. Oncol.</w:t>
      </w:r>
      <w:r w:rsidRPr="00D43831">
        <w:rPr>
          <w:rFonts w:ascii="Times New Roman" w:hAnsi="Times New Roman" w:cs="Times New Roman"/>
          <w:noProof/>
          <w:color w:val="auto"/>
          <w:lang w:val="en-US"/>
        </w:rPr>
        <w:t xml:space="preserve"> 1–20 (2019). doi:10.1200/PO.19.00072</w:t>
      </w:r>
    </w:p>
    <w:p w14:paraId="5DB2E4A7" w14:textId="77777777" w:rsidR="00D35CCC" w:rsidRPr="00D43831" w:rsidRDefault="00D35CCC">
      <w:pPr>
        <w:widowControl w:val="0"/>
        <w:autoSpaceDE w:val="0"/>
        <w:autoSpaceDN w:val="0"/>
        <w:adjustRightInd w:val="0"/>
        <w:ind w:left="440" w:hanging="440"/>
        <w:rPr>
          <w:rFonts w:ascii="Times New Roman" w:hAnsi="Times New Roman" w:cs="Times New Roman"/>
          <w:noProof/>
          <w:color w:val="auto"/>
          <w:lang w:val="en-US"/>
        </w:rPr>
      </w:pPr>
      <w:r w:rsidRPr="00D43831">
        <w:rPr>
          <w:rFonts w:ascii="Times New Roman" w:hAnsi="Times New Roman" w:cs="Times New Roman"/>
          <w:noProof/>
          <w:color w:val="auto"/>
          <w:lang w:val="en-US"/>
        </w:rPr>
        <w:t>26.</w:t>
      </w:r>
      <w:r w:rsidRPr="00D43831">
        <w:rPr>
          <w:rFonts w:ascii="Times New Roman" w:hAnsi="Times New Roman" w:cs="Times New Roman"/>
          <w:noProof/>
          <w:color w:val="auto"/>
          <w:lang w:val="en-US"/>
        </w:rPr>
        <w:tab/>
        <w:t xml:space="preserve">Ackermann, S. </w:t>
      </w:r>
      <w:r w:rsidRPr="00D43831">
        <w:rPr>
          <w:rFonts w:ascii="Times New Roman" w:hAnsi="Times New Roman" w:cs="Times New Roman"/>
          <w:i/>
          <w:iCs/>
          <w:noProof/>
          <w:color w:val="auto"/>
          <w:lang w:val="en-US"/>
        </w:rPr>
        <w:t>et al.</w:t>
      </w:r>
      <w:r w:rsidRPr="00D43831">
        <w:rPr>
          <w:rFonts w:ascii="Times New Roman" w:hAnsi="Times New Roman" w:cs="Times New Roman"/>
          <w:noProof/>
          <w:color w:val="auto"/>
          <w:lang w:val="en-US"/>
        </w:rPr>
        <w:t xml:space="preserve"> A mechanistic classification of clinical phenotypes in neuroblastoma. </w:t>
      </w:r>
      <w:r w:rsidRPr="00D43831">
        <w:rPr>
          <w:rFonts w:ascii="Times New Roman" w:hAnsi="Times New Roman" w:cs="Times New Roman"/>
          <w:i/>
          <w:iCs/>
          <w:noProof/>
          <w:color w:val="auto"/>
          <w:lang w:val="en-US"/>
        </w:rPr>
        <w:t>Science</w:t>
      </w:r>
      <w:r w:rsidRPr="00D43831">
        <w:rPr>
          <w:rFonts w:ascii="Times New Roman" w:hAnsi="Times New Roman" w:cs="Times New Roman"/>
          <w:noProof/>
          <w:color w:val="auto"/>
          <w:lang w:val="en-US"/>
        </w:rPr>
        <w:t xml:space="preserve"> </w:t>
      </w:r>
      <w:r w:rsidRPr="00D43831">
        <w:rPr>
          <w:rFonts w:ascii="Times New Roman" w:hAnsi="Times New Roman" w:cs="Times New Roman"/>
          <w:b/>
          <w:bCs/>
          <w:noProof/>
          <w:color w:val="auto"/>
          <w:lang w:val="en-US"/>
        </w:rPr>
        <w:t>362,</w:t>
      </w:r>
      <w:r w:rsidRPr="00D43831">
        <w:rPr>
          <w:rFonts w:ascii="Times New Roman" w:hAnsi="Times New Roman" w:cs="Times New Roman"/>
          <w:noProof/>
          <w:color w:val="auto"/>
          <w:lang w:val="en-US"/>
        </w:rPr>
        <w:t xml:space="preserve"> 1165–1170 (2018).</w:t>
      </w:r>
    </w:p>
    <w:p w14:paraId="32FAD268" w14:textId="77777777" w:rsidR="00D35CCC" w:rsidRPr="00D43831" w:rsidRDefault="00D35CCC">
      <w:pPr>
        <w:widowControl w:val="0"/>
        <w:autoSpaceDE w:val="0"/>
        <w:autoSpaceDN w:val="0"/>
        <w:adjustRightInd w:val="0"/>
        <w:ind w:left="440" w:hanging="440"/>
        <w:rPr>
          <w:rFonts w:ascii="Times New Roman" w:hAnsi="Times New Roman" w:cs="Times New Roman"/>
          <w:noProof/>
          <w:color w:val="auto"/>
          <w:lang w:val="en-US"/>
        </w:rPr>
      </w:pPr>
      <w:r w:rsidRPr="00D43831">
        <w:rPr>
          <w:rFonts w:ascii="Times New Roman" w:hAnsi="Times New Roman" w:cs="Times New Roman"/>
          <w:noProof/>
          <w:color w:val="auto"/>
          <w:lang w:val="en-US"/>
        </w:rPr>
        <w:t>27.</w:t>
      </w:r>
      <w:r w:rsidRPr="00D43831">
        <w:rPr>
          <w:rFonts w:ascii="Times New Roman" w:hAnsi="Times New Roman" w:cs="Times New Roman"/>
          <w:noProof/>
          <w:color w:val="auto"/>
          <w:lang w:val="en-US"/>
        </w:rPr>
        <w:tab/>
        <w:t xml:space="preserve">Boeva, V. </w:t>
      </w:r>
      <w:r w:rsidRPr="00D43831">
        <w:rPr>
          <w:rFonts w:ascii="Times New Roman" w:hAnsi="Times New Roman" w:cs="Times New Roman"/>
          <w:i/>
          <w:iCs/>
          <w:noProof/>
          <w:color w:val="auto"/>
          <w:lang w:val="en-US"/>
        </w:rPr>
        <w:t>et al.</w:t>
      </w:r>
      <w:r w:rsidRPr="00D43831">
        <w:rPr>
          <w:rFonts w:ascii="Times New Roman" w:hAnsi="Times New Roman" w:cs="Times New Roman"/>
          <w:noProof/>
          <w:color w:val="auto"/>
          <w:lang w:val="en-US"/>
        </w:rPr>
        <w:t xml:space="preserve"> Heterogeneity of neuroblastoma cell identity defined by transcriptional circuitries. </w:t>
      </w:r>
      <w:r w:rsidRPr="00D43831">
        <w:rPr>
          <w:rFonts w:ascii="Times New Roman" w:hAnsi="Times New Roman" w:cs="Times New Roman"/>
          <w:i/>
          <w:iCs/>
          <w:noProof/>
          <w:color w:val="auto"/>
          <w:lang w:val="en-US"/>
        </w:rPr>
        <w:t>Nat. Genet.</w:t>
      </w:r>
      <w:r w:rsidRPr="00D43831">
        <w:rPr>
          <w:rFonts w:ascii="Times New Roman" w:hAnsi="Times New Roman" w:cs="Times New Roman"/>
          <w:noProof/>
          <w:color w:val="auto"/>
          <w:lang w:val="en-US"/>
        </w:rPr>
        <w:t xml:space="preserve"> </w:t>
      </w:r>
      <w:r w:rsidRPr="00D43831">
        <w:rPr>
          <w:rFonts w:ascii="Times New Roman" w:hAnsi="Times New Roman" w:cs="Times New Roman"/>
          <w:b/>
          <w:bCs/>
          <w:noProof/>
          <w:color w:val="auto"/>
          <w:lang w:val="en-US"/>
        </w:rPr>
        <w:t>49,</w:t>
      </w:r>
      <w:r w:rsidRPr="00D43831">
        <w:rPr>
          <w:rFonts w:ascii="Times New Roman" w:hAnsi="Times New Roman" w:cs="Times New Roman"/>
          <w:noProof/>
          <w:color w:val="auto"/>
          <w:lang w:val="en-US"/>
        </w:rPr>
        <w:t xml:space="preserve"> 1408–1413 (2017).</w:t>
      </w:r>
    </w:p>
    <w:p w14:paraId="5B669D4C" w14:textId="77777777" w:rsidR="00D35CCC" w:rsidRPr="00D43831" w:rsidRDefault="00D35CCC">
      <w:pPr>
        <w:widowControl w:val="0"/>
        <w:autoSpaceDE w:val="0"/>
        <w:autoSpaceDN w:val="0"/>
        <w:adjustRightInd w:val="0"/>
        <w:ind w:left="440" w:hanging="440"/>
        <w:rPr>
          <w:rFonts w:ascii="Times New Roman" w:hAnsi="Times New Roman" w:cs="Times New Roman"/>
          <w:noProof/>
          <w:color w:val="auto"/>
          <w:lang w:val="en-US"/>
        </w:rPr>
      </w:pPr>
      <w:r w:rsidRPr="00D43831">
        <w:rPr>
          <w:rFonts w:ascii="Times New Roman" w:hAnsi="Times New Roman" w:cs="Times New Roman"/>
          <w:noProof/>
          <w:color w:val="auto"/>
          <w:lang w:val="en-US"/>
        </w:rPr>
        <w:t>28.</w:t>
      </w:r>
      <w:r w:rsidRPr="00D43831">
        <w:rPr>
          <w:rFonts w:ascii="Times New Roman" w:hAnsi="Times New Roman" w:cs="Times New Roman"/>
          <w:noProof/>
          <w:color w:val="auto"/>
          <w:lang w:val="en-US"/>
        </w:rPr>
        <w:tab/>
        <w:t xml:space="preserve">van Groningen, T. </w:t>
      </w:r>
      <w:r w:rsidRPr="00D43831">
        <w:rPr>
          <w:rFonts w:ascii="Times New Roman" w:hAnsi="Times New Roman" w:cs="Times New Roman"/>
          <w:i/>
          <w:iCs/>
          <w:noProof/>
          <w:color w:val="auto"/>
          <w:lang w:val="en-US"/>
        </w:rPr>
        <w:t>et al.</w:t>
      </w:r>
      <w:r w:rsidRPr="00D43831">
        <w:rPr>
          <w:rFonts w:ascii="Times New Roman" w:hAnsi="Times New Roman" w:cs="Times New Roman"/>
          <w:noProof/>
          <w:color w:val="auto"/>
          <w:lang w:val="en-US"/>
        </w:rPr>
        <w:t xml:space="preserve"> Neuroblastoma is composed of two super-enhancer-associated differentiation states. </w:t>
      </w:r>
      <w:r w:rsidRPr="00D43831">
        <w:rPr>
          <w:rFonts w:ascii="Times New Roman" w:hAnsi="Times New Roman" w:cs="Times New Roman"/>
          <w:i/>
          <w:iCs/>
          <w:noProof/>
          <w:color w:val="auto"/>
          <w:lang w:val="en-US"/>
        </w:rPr>
        <w:t>Nat. Genet.</w:t>
      </w:r>
      <w:r w:rsidRPr="00D43831">
        <w:rPr>
          <w:rFonts w:ascii="Times New Roman" w:hAnsi="Times New Roman" w:cs="Times New Roman"/>
          <w:noProof/>
          <w:color w:val="auto"/>
          <w:lang w:val="en-US"/>
        </w:rPr>
        <w:t xml:space="preserve"> </w:t>
      </w:r>
      <w:r w:rsidRPr="00D43831">
        <w:rPr>
          <w:rFonts w:ascii="Times New Roman" w:hAnsi="Times New Roman" w:cs="Times New Roman"/>
          <w:b/>
          <w:bCs/>
          <w:noProof/>
          <w:color w:val="auto"/>
          <w:lang w:val="en-US"/>
        </w:rPr>
        <w:t>49,</w:t>
      </w:r>
      <w:r w:rsidRPr="00D43831">
        <w:rPr>
          <w:rFonts w:ascii="Times New Roman" w:hAnsi="Times New Roman" w:cs="Times New Roman"/>
          <w:noProof/>
          <w:color w:val="auto"/>
          <w:lang w:val="en-US"/>
        </w:rPr>
        <w:t xml:space="preserve"> 1261–1266 (2017).</w:t>
      </w:r>
    </w:p>
    <w:p w14:paraId="0AAD4B53" w14:textId="77777777" w:rsidR="00D35CCC" w:rsidRPr="00D43831" w:rsidRDefault="00D35CCC">
      <w:pPr>
        <w:widowControl w:val="0"/>
        <w:autoSpaceDE w:val="0"/>
        <w:autoSpaceDN w:val="0"/>
        <w:adjustRightInd w:val="0"/>
        <w:ind w:left="440" w:hanging="440"/>
        <w:rPr>
          <w:noProof/>
          <w:color w:val="auto"/>
        </w:rPr>
      </w:pPr>
      <w:r w:rsidRPr="00D43831">
        <w:rPr>
          <w:rFonts w:ascii="Times New Roman" w:hAnsi="Times New Roman" w:cs="Times New Roman"/>
          <w:noProof/>
          <w:color w:val="auto"/>
          <w:lang w:val="en-US"/>
        </w:rPr>
        <w:t>29.</w:t>
      </w:r>
      <w:r w:rsidRPr="00D43831">
        <w:rPr>
          <w:rFonts w:ascii="Times New Roman" w:hAnsi="Times New Roman" w:cs="Times New Roman"/>
          <w:noProof/>
          <w:color w:val="auto"/>
          <w:lang w:val="en-US"/>
        </w:rPr>
        <w:tab/>
        <w:t xml:space="preserve">Tomolonis, J. A., Agarwal, S. &amp; Shohet, J. M. Neuroblastoma pathogenesis: deregulation of embryonic neural crest development. </w:t>
      </w:r>
      <w:r w:rsidRPr="00D43831">
        <w:rPr>
          <w:rFonts w:ascii="Times New Roman" w:hAnsi="Times New Roman" w:cs="Times New Roman"/>
          <w:i/>
          <w:iCs/>
          <w:noProof/>
          <w:color w:val="auto"/>
          <w:lang w:val="en-US"/>
        </w:rPr>
        <w:t>Cell Tissue Res.</w:t>
      </w:r>
      <w:r w:rsidRPr="00D43831">
        <w:rPr>
          <w:rFonts w:ascii="Times New Roman" w:hAnsi="Times New Roman" w:cs="Times New Roman"/>
          <w:noProof/>
          <w:color w:val="auto"/>
          <w:lang w:val="en-US"/>
        </w:rPr>
        <w:t xml:space="preserve"> </w:t>
      </w:r>
      <w:r w:rsidRPr="00D43831">
        <w:rPr>
          <w:rFonts w:ascii="Times New Roman" w:hAnsi="Times New Roman" w:cs="Times New Roman"/>
          <w:b/>
          <w:bCs/>
          <w:noProof/>
          <w:color w:val="auto"/>
          <w:lang w:val="en-US"/>
        </w:rPr>
        <w:t>372,</w:t>
      </w:r>
      <w:r w:rsidRPr="00D43831">
        <w:rPr>
          <w:rFonts w:ascii="Times New Roman" w:hAnsi="Times New Roman" w:cs="Times New Roman"/>
          <w:noProof/>
          <w:color w:val="auto"/>
          <w:lang w:val="en-US"/>
        </w:rPr>
        <w:t xml:space="preserve"> 245–262 (2018).</w:t>
      </w:r>
    </w:p>
    <w:p w14:paraId="212713FA" w14:textId="352F530B" w:rsidR="00C15BFF" w:rsidRPr="00D43831" w:rsidRDefault="00C15BFF" w:rsidP="00D35CCC">
      <w:pPr>
        <w:widowControl w:val="0"/>
        <w:autoSpaceDE w:val="0"/>
        <w:autoSpaceDN w:val="0"/>
        <w:adjustRightInd w:val="0"/>
        <w:rPr>
          <w:color w:val="auto"/>
          <w:szCs w:val="20"/>
        </w:rPr>
      </w:pPr>
      <w:r w:rsidRPr="00D43831">
        <w:rPr>
          <w:color w:val="auto"/>
          <w:szCs w:val="20"/>
        </w:rPr>
        <w:fldChar w:fldCharType="end"/>
      </w:r>
    </w:p>
    <w:p w14:paraId="5070B5AD" w14:textId="4CBB1B3F" w:rsidR="009073EC" w:rsidRPr="00D43831" w:rsidRDefault="009073EC" w:rsidP="00C15BFF">
      <w:pPr>
        <w:rPr>
          <w:color w:val="auto"/>
        </w:rPr>
      </w:pPr>
    </w:p>
    <w:sectPr w:rsidR="009073EC" w:rsidRPr="00D43831" w:rsidSect="00BC471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rah Cohen-Gogo" w:date="2021-11-17T18:44:00Z" w:initials="SC">
    <w:p w14:paraId="4E4E9C25" w14:textId="4CDB507D" w:rsidR="00D462F3" w:rsidRDefault="00D462F3">
      <w:pPr>
        <w:pStyle w:val="CommentText"/>
      </w:pPr>
      <w:r>
        <w:rPr>
          <w:rStyle w:val="CommentReference"/>
        </w:rPr>
        <w:annotationRef/>
      </w:r>
      <w:r>
        <w:t xml:space="preserve">Could cite </w:t>
      </w:r>
      <w:hyperlink r:id="rId1" w:history="1">
        <w:r w:rsidRPr="005736E0">
          <w:rPr>
            <w:rStyle w:val="Hyperlink"/>
          </w:rPr>
          <w:t>https://ascopubs.org/doi/abs/10.1200/JCO.21.00278</w:t>
        </w:r>
      </w:hyperlink>
      <w:r>
        <w:t xml:space="preserve"> for most recent risk classification</w:t>
      </w:r>
    </w:p>
  </w:comment>
  <w:comment w:id="1" w:author="Josh Nash" w:date="2021-04-21T18:29:00Z" w:initials="JN">
    <w:p w14:paraId="77C32334" w14:textId="3F133DCC" w:rsidR="00A25D97" w:rsidRDefault="00A25D97">
      <w:pPr>
        <w:pStyle w:val="CommentText"/>
      </w:pPr>
      <w:r>
        <w:rPr>
          <w:rStyle w:val="CommentReference"/>
        </w:rPr>
        <w:annotationRef/>
      </w:r>
      <w:r w:rsidR="00076018">
        <w:t xml:space="preserve">T064 </w:t>
      </w:r>
      <w:r>
        <w:t>Reaches 50% survival the earliest, but all patients in T065 die by 3800 days, compared to 30% survival in T064 through 4948</w:t>
      </w:r>
    </w:p>
  </w:comment>
  <w:comment w:id="2" w:author="Sarah Cohen-Gogo" w:date="2021-11-17T18:52:00Z" w:initials="SC">
    <w:p w14:paraId="6EA22019" w14:textId="0C3719EF" w:rsidR="00C334F2" w:rsidRDefault="00C334F2">
      <w:pPr>
        <w:pStyle w:val="CommentText"/>
      </w:pPr>
      <w:r>
        <w:rPr>
          <w:rStyle w:val="CommentReference"/>
        </w:rPr>
        <w:annotationRef/>
      </w:r>
      <w:r>
        <w:t>I wouldn’t push this too much. It’s interesting and important to have survival data but SO many confounders in there</w:t>
      </w:r>
      <w:r w:rsidR="0072373D">
        <w:t xml:space="preserve"> that it’s not just about the subclass of NBL the </w:t>
      </w:r>
      <w:r w:rsidR="00F05352">
        <w:t>tumor</w:t>
      </w:r>
      <w:r w:rsidR="0072373D">
        <w:t>s belong to</w:t>
      </w:r>
    </w:p>
  </w:comment>
  <w:comment w:id="3" w:author="Three Shlien" w:date="2021-12-09T13:53:00Z" w:initials="TS">
    <w:p w14:paraId="49CDFB2F" w14:textId="4831749C" w:rsidR="00C74842" w:rsidRDefault="00C74842" w:rsidP="00C74842">
      <w:pPr>
        <w:pStyle w:val="CommentText"/>
        <w:ind w:firstLine="0"/>
      </w:pPr>
      <w:r>
        <w:rPr>
          <w:rStyle w:val="CommentReference"/>
        </w:rPr>
        <w:annotationRef/>
      </w:r>
      <w:r>
        <w:t>Sarah asked to clarify how this was done, so I added this sentence. Review.</w:t>
      </w:r>
    </w:p>
  </w:comment>
  <w:comment w:id="4" w:author="Three Shlien" w:date="2021-05-27T17:57:00Z" w:initials="TS">
    <w:p w14:paraId="4FCF97D7" w14:textId="4340B28C" w:rsidR="00754A23" w:rsidRDefault="00754A23" w:rsidP="00754A23">
      <w:pPr>
        <w:pStyle w:val="CommentText"/>
      </w:pPr>
      <w:r>
        <w:rPr>
          <w:rStyle w:val="CommentReference"/>
        </w:rPr>
        <w:annotationRef/>
      </w:r>
      <w:r>
        <w:t xml:space="preserve">For adrenal, Van Groningen is lowest at </w:t>
      </w:r>
      <w:r w:rsidRPr="007D70E6">
        <w:t>1.192316e-09</w:t>
      </w:r>
    </w:p>
    <w:p w14:paraId="5575282E" w14:textId="240E86A5" w:rsidR="00754A23" w:rsidRDefault="00754A23" w:rsidP="00754A23">
      <w:pPr>
        <w:pStyle w:val="CommentText"/>
      </w:pPr>
      <w:r>
        <w:t xml:space="preserve">For mesenchymal, boeva neural crest is lowest at </w:t>
      </w:r>
      <w:r w:rsidRPr="007D70E6">
        <w:t>3.686469e-07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4E9C25" w15:done="0"/>
  <w15:commentEx w15:paraId="77C32334" w15:done="0"/>
  <w15:commentEx w15:paraId="6EA22019" w15:paraIdParent="77C32334" w15:done="0"/>
  <w15:commentEx w15:paraId="49CDFB2F" w15:done="0"/>
  <w15:commentEx w15:paraId="557528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F779C" w16cex:dateUtc="2021-11-17T17:44:00Z"/>
  <w16cex:commentExtensible w16cex:durableId="242A9921" w16cex:dateUtc="2021-04-21T16:29:00Z"/>
  <w16cex:commentExtensible w16cex:durableId="253F7973" w16cex:dateUtc="2021-11-17T17:52:00Z"/>
  <w16cex:commentExtensible w16cex:durableId="255C88F3" w16cex:dateUtc="2021-12-09T12:53:00Z"/>
  <w16cex:commentExtensible w16cex:durableId="245A07B6" w16cex:dateUtc="2021-05-27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4E9C25" w16cid:durableId="253F779C"/>
  <w16cid:commentId w16cid:paraId="77C32334" w16cid:durableId="242A9921"/>
  <w16cid:commentId w16cid:paraId="6EA22019" w16cid:durableId="253F7973"/>
  <w16cid:commentId w16cid:paraId="49CDFB2F" w16cid:durableId="255C88F3"/>
  <w16cid:commentId w16cid:paraId="5575282E" w16cid:durableId="245A07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F1FD7" w14:textId="77777777" w:rsidR="00272ECD" w:rsidRDefault="00272ECD" w:rsidP="00275FA7">
      <w:pPr>
        <w:spacing w:after="0" w:line="240" w:lineRule="auto"/>
      </w:pPr>
      <w:r>
        <w:separator/>
      </w:r>
    </w:p>
  </w:endnote>
  <w:endnote w:type="continuationSeparator" w:id="0">
    <w:p w14:paraId="1E73B7F2" w14:textId="77777777" w:rsidR="00272ECD" w:rsidRDefault="00272ECD" w:rsidP="00275FA7">
      <w:pPr>
        <w:spacing w:after="0" w:line="240" w:lineRule="auto"/>
      </w:pPr>
      <w:r>
        <w:continuationSeparator/>
      </w:r>
    </w:p>
  </w:endnote>
  <w:endnote w:type="continuationNotice" w:id="1">
    <w:p w14:paraId="24900972" w14:textId="77777777" w:rsidR="00272ECD" w:rsidRDefault="00272E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C5CAF" w14:textId="77777777" w:rsidR="00272ECD" w:rsidRDefault="00272ECD" w:rsidP="00275FA7">
      <w:pPr>
        <w:spacing w:after="0" w:line="240" w:lineRule="auto"/>
      </w:pPr>
      <w:r>
        <w:separator/>
      </w:r>
    </w:p>
  </w:footnote>
  <w:footnote w:type="continuationSeparator" w:id="0">
    <w:p w14:paraId="1E45F530" w14:textId="77777777" w:rsidR="00272ECD" w:rsidRDefault="00272ECD" w:rsidP="00275FA7">
      <w:pPr>
        <w:spacing w:after="0" w:line="240" w:lineRule="auto"/>
      </w:pPr>
      <w:r>
        <w:continuationSeparator/>
      </w:r>
    </w:p>
  </w:footnote>
  <w:footnote w:type="continuationNotice" w:id="1">
    <w:p w14:paraId="1A8BD9A2" w14:textId="77777777" w:rsidR="00272ECD" w:rsidRDefault="00272EC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6467"/>
    <w:multiLevelType w:val="hybridMultilevel"/>
    <w:tmpl w:val="0BF895DC"/>
    <w:lvl w:ilvl="0" w:tplc="2F342488">
      <w:numFmt w:val="bullet"/>
      <w:lvlText w:val="-"/>
      <w:lvlJc w:val="left"/>
      <w:pPr>
        <w:ind w:left="720" w:hanging="360"/>
      </w:pPr>
      <w:rPr>
        <w:rFonts w:ascii="Calibri" w:eastAsia="Times New Roman" w:hAnsi="Calibri" w:cs="Calibri"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A00BF"/>
    <w:multiLevelType w:val="hybridMultilevel"/>
    <w:tmpl w:val="AB0C68C4"/>
    <w:lvl w:ilvl="0" w:tplc="11287E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674BA"/>
    <w:multiLevelType w:val="hybridMultilevel"/>
    <w:tmpl w:val="CE0E8C68"/>
    <w:lvl w:ilvl="0" w:tplc="2F342488">
      <w:numFmt w:val="bullet"/>
      <w:lvlText w:val="-"/>
      <w:lvlJc w:val="left"/>
      <w:pPr>
        <w:ind w:left="720" w:hanging="360"/>
      </w:pPr>
      <w:rPr>
        <w:rFonts w:ascii="Calibri" w:eastAsia="Times New Roman" w:hAnsi="Calibri" w:cs="Calibri"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C300F"/>
    <w:multiLevelType w:val="hybridMultilevel"/>
    <w:tmpl w:val="9578CBAE"/>
    <w:lvl w:ilvl="0" w:tplc="319452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C03D87"/>
    <w:multiLevelType w:val="hybridMultilevel"/>
    <w:tmpl w:val="A8A8B7BE"/>
    <w:lvl w:ilvl="0" w:tplc="2F342488">
      <w:numFmt w:val="bullet"/>
      <w:lvlText w:val="-"/>
      <w:lvlJc w:val="left"/>
      <w:pPr>
        <w:ind w:left="720" w:hanging="360"/>
      </w:pPr>
      <w:rPr>
        <w:rFonts w:ascii="Calibri" w:eastAsia="Times New Roman" w:hAnsi="Calibri" w:cs="Calibri" w:hint="default"/>
        <w:b w:val="0"/>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D5400"/>
    <w:multiLevelType w:val="hybridMultilevel"/>
    <w:tmpl w:val="785A9BCC"/>
    <w:lvl w:ilvl="0" w:tplc="122EE9D6">
      <w:numFmt w:val="bullet"/>
      <w:lvlText w:val="-"/>
      <w:lvlJc w:val="left"/>
      <w:pPr>
        <w:ind w:left="720" w:hanging="360"/>
      </w:pPr>
      <w:rPr>
        <w:rFonts w:ascii="Cambria" w:eastAsia="Cambr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51F94"/>
    <w:multiLevelType w:val="hybridMultilevel"/>
    <w:tmpl w:val="04B85836"/>
    <w:lvl w:ilvl="0" w:tplc="A8960ED2">
      <w:start w:val="1"/>
      <w:numFmt w:val="decimal"/>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7" w15:restartNumberingAfterBreak="0">
    <w:nsid w:val="270D5E21"/>
    <w:multiLevelType w:val="hybridMultilevel"/>
    <w:tmpl w:val="541C51F0"/>
    <w:lvl w:ilvl="0" w:tplc="9B4C280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F54FC"/>
    <w:multiLevelType w:val="hybridMultilevel"/>
    <w:tmpl w:val="57023C64"/>
    <w:lvl w:ilvl="0" w:tplc="BFA6B402">
      <w:start w:val="76"/>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03F88"/>
    <w:multiLevelType w:val="hybridMultilevel"/>
    <w:tmpl w:val="0A8ABFFC"/>
    <w:lvl w:ilvl="0" w:tplc="5DEA77E4">
      <w:numFmt w:val="bullet"/>
      <w:lvlText w:val="-"/>
      <w:lvlJc w:val="left"/>
      <w:pPr>
        <w:ind w:left="720" w:hanging="360"/>
      </w:pPr>
      <w:rPr>
        <w:rFonts w:ascii="Cambria" w:eastAsia="Cambria" w:hAnsi="Cambria"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E0488"/>
    <w:multiLevelType w:val="hybridMultilevel"/>
    <w:tmpl w:val="453C910C"/>
    <w:lvl w:ilvl="0" w:tplc="14380C3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490E45"/>
    <w:multiLevelType w:val="hybridMultilevel"/>
    <w:tmpl w:val="FF4A7086"/>
    <w:lvl w:ilvl="0" w:tplc="9572CEBE">
      <w:numFmt w:val="bullet"/>
      <w:lvlText w:val="-"/>
      <w:lvlJc w:val="left"/>
      <w:pPr>
        <w:ind w:left="720" w:hanging="360"/>
      </w:pPr>
      <w:rPr>
        <w:rFonts w:ascii="Calibri" w:eastAsia="Times New Roman"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BD5479"/>
    <w:multiLevelType w:val="hybridMultilevel"/>
    <w:tmpl w:val="9DAA1D26"/>
    <w:lvl w:ilvl="0" w:tplc="A016DFEA">
      <w:numFmt w:val="bullet"/>
      <w:lvlText w:val="-"/>
      <w:lvlJc w:val="left"/>
      <w:pPr>
        <w:ind w:left="549" w:hanging="360"/>
      </w:pPr>
      <w:rPr>
        <w:rFonts w:ascii="Cambria" w:eastAsia="Cambria" w:hAnsi="Cambria" w:cs="Cambria" w:hint="default"/>
      </w:rPr>
    </w:lvl>
    <w:lvl w:ilvl="1" w:tplc="04090003" w:tentative="1">
      <w:start w:val="1"/>
      <w:numFmt w:val="bullet"/>
      <w:lvlText w:val="o"/>
      <w:lvlJc w:val="left"/>
      <w:pPr>
        <w:ind w:left="1269" w:hanging="360"/>
      </w:pPr>
      <w:rPr>
        <w:rFonts w:ascii="Courier New" w:hAnsi="Courier New" w:cs="Courier New" w:hint="default"/>
      </w:rPr>
    </w:lvl>
    <w:lvl w:ilvl="2" w:tplc="04090005" w:tentative="1">
      <w:start w:val="1"/>
      <w:numFmt w:val="bullet"/>
      <w:lvlText w:val=""/>
      <w:lvlJc w:val="left"/>
      <w:pPr>
        <w:ind w:left="1989" w:hanging="360"/>
      </w:pPr>
      <w:rPr>
        <w:rFonts w:ascii="Wingdings" w:hAnsi="Wingdings" w:hint="default"/>
      </w:rPr>
    </w:lvl>
    <w:lvl w:ilvl="3" w:tplc="04090001" w:tentative="1">
      <w:start w:val="1"/>
      <w:numFmt w:val="bullet"/>
      <w:lvlText w:val=""/>
      <w:lvlJc w:val="left"/>
      <w:pPr>
        <w:ind w:left="2709" w:hanging="360"/>
      </w:pPr>
      <w:rPr>
        <w:rFonts w:ascii="Symbol" w:hAnsi="Symbol" w:hint="default"/>
      </w:rPr>
    </w:lvl>
    <w:lvl w:ilvl="4" w:tplc="04090003" w:tentative="1">
      <w:start w:val="1"/>
      <w:numFmt w:val="bullet"/>
      <w:lvlText w:val="o"/>
      <w:lvlJc w:val="left"/>
      <w:pPr>
        <w:ind w:left="3429" w:hanging="360"/>
      </w:pPr>
      <w:rPr>
        <w:rFonts w:ascii="Courier New" w:hAnsi="Courier New" w:cs="Courier New" w:hint="default"/>
      </w:rPr>
    </w:lvl>
    <w:lvl w:ilvl="5" w:tplc="04090005" w:tentative="1">
      <w:start w:val="1"/>
      <w:numFmt w:val="bullet"/>
      <w:lvlText w:val=""/>
      <w:lvlJc w:val="left"/>
      <w:pPr>
        <w:ind w:left="4149" w:hanging="360"/>
      </w:pPr>
      <w:rPr>
        <w:rFonts w:ascii="Wingdings" w:hAnsi="Wingdings" w:hint="default"/>
      </w:rPr>
    </w:lvl>
    <w:lvl w:ilvl="6" w:tplc="04090001" w:tentative="1">
      <w:start w:val="1"/>
      <w:numFmt w:val="bullet"/>
      <w:lvlText w:val=""/>
      <w:lvlJc w:val="left"/>
      <w:pPr>
        <w:ind w:left="4869" w:hanging="360"/>
      </w:pPr>
      <w:rPr>
        <w:rFonts w:ascii="Symbol" w:hAnsi="Symbol" w:hint="default"/>
      </w:rPr>
    </w:lvl>
    <w:lvl w:ilvl="7" w:tplc="04090003" w:tentative="1">
      <w:start w:val="1"/>
      <w:numFmt w:val="bullet"/>
      <w:lvlText w:val="o"/>
      <w:lvlJc w:val="left"/>
      <w:pPr>
        <w:ind w:left="5589" w:hanging="360"/>
      </w:pPr>
      <w:rPr>
        <w:rFonts w:ascii="Courier New" w:hAnsi="Courier New" w:cs="Courier New" w:hint="default"/>
      </w:rPr>
    </w:lvl>
    <w:lvl w:ilvl="8" w:tplc="04090005" w:tentative="1">
      <w:start w:val="1"/>
      <w:numFmt w:val="bullet"/>
      <w:lvlText w:val=""/>
      <w:lvlJc w:val="left"/>
      <w:pPr>
        <w:ind w:left="6309" w:hanging="360"/>
      </w:pPr>
      <w:rPr>
        <w:rFonts w:ascii="Wingdings" w:hAnsi="Wingdings" w:hint="default"/>
      </w:rPr>
    </w:lvl>
  </w:abstractNum>
  <w:abstractNum w:abstractNumId="13" w15:restartNumberingAfterBreak="0">
    <w:nsid w:val="50DD635A"/>
    <w:multiLevelType w:val="hybridMultilevel"/>
    <w:tmpl w:val="52AE5B4E"/>
    <w:lvl w:ilvl="0" w:tplc="2F342488">
      <w:numFmt w:val="bullet"/>
      <w:lvlText w:val="-"/>
      <w:lvlJc w:val="left"/>
      <w:pPr>
        <w:ind w:left="720" w:hanging="360"/>
      </w:pPr>
      <w:rPr>
        <w:rFonts w:ascii="Calibri" w:eastAsia="Times New Roman" w:hAnsi="Calibri" w:cs="Calibri" w:hint="default"/>
        <w:b w:val="0"/>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F4133B"/>
    <w:multiLevelType w:val="hybridMultilevel"/>
    <w:tmpl w:val="3912C1E6"/>
    <w:lvl w:ilvl="0" w:tplc="D46A93D0">
      <w:start w:val="1"/>
      <w:numFmt w:val="decimal"/>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15" w15:restartNumberingAfterBreak="0">
    <w:nsid w:val="598870D3"/>
    <w:multiLevelType w:val="hybridMultilevel"/>
    <w:tmpl w:val="C3589B96"/>
    <w:lvl w:ilvl="0" w:tplc="18329E2E">
      <w:numFmt w:val="bullet"/>
      <w:lvlText w:val="-"/>
      <w:lvlJc w:val="left"/>
      <w:pPr>
        <w:ind w:left="549" w:hanging="360"/>
      </w:pPr>
      <w:rPr>
        <w:rFonts w:ascii="Cambria" w:eastAsia="Cambria" w:hAnsi="Cambria" w:cs="Cambria" w:hint="default"/>
      </w:rPr>
    </w:lvl>
    <w:lvl w:ilvl="1" w:tplc="04090003" w:tentative="1">
      <w:start w:val="1"/>
      <w:numFmt w:val="bullet"/>
      <w:lvlText w:val="o"/>
      <w:lvlJc w:val="left"/>
      <w:pPr>
        <w:ind w:left="1269" w:hanging="360"/>
      </w:pPr>
      <w:rPr>
        <w:rFonts w:ascii="Courier New" w:hAnsi="Courier New" w:cs="Courier New" w:hint="default"/>
      </w:rPr>
    </w:lvl>
    <w:lvl w:ilvl="2" w:tplc="04090005" w:tentative="1">
      <w:start w:val="1"/>
      <w:numFmt w:val="bullet"/>
      <w:lvlText w:val=""/>
      <w:lvlJc w:val="left"/>
      <w:pPr>
        <w:ind w:left="1989" w:hanging="360"/>
      </w:pPr>
      <w:rPr>
        <w:rFonts w:ascii="Wingdings" w:hAnsi="Wingdings" w:hint="default"/>
      </w:rPr>
    </w:lvl>
    <w:lvl w:ilvl="3" w:tplc="04090001" w:tentative="1">
      <w:start w:val="1"/>
      <w:numFmt w:val="bullet"/>
      <w:lvlText w:val=""/>
      <w:lvlJc w:val="left"/>
      <w:pPr>
        <w:ind w:left="2709" w:hanging="360"/>
      </w:pPr>
      <w:rPr>
        <w:rFonts w:ascii="Symbol" w:hAnsi="Symbol" w:hint="default"/>
      </w:rPr>
    </w:lvl>
    <w:lvl w:ilvl="4" w:tplc="04090003" w:tentative="1">
      <w:start w:val="1"/>
      <w:numFmt w:val="bullet"/>
      <w:lvlText w:val="o"/>
      <w:lvlJc w:val="left"/>
      <w:pPr>
        <w:ind w:left="3429" w:hanging="360"/>
      </w:pPr>
      <w:rPr>
        <w:rFonts w:ascii="Courier New" w:hAnsi="Courier New" w:cs="Courier New" w:hint="default"/>
      </w:rPr>
    </w:lvl>
    <w:lvl w:ilvl="5" w:tplc="04090005" w:tentative="1">
      <w:start w:val="1"/>
      <w:numFmt w:val="bullet"/>
      <w:lvlText w:val=""/>
      <w:lvlJc w:val="left"/>
      <w:pPr>
        <w:ind w:left="4149" w:hanging="360"/>
      </w:pPr>
      <w:rPr>
        <w:rFonts w:ascii="Wingdings" w:hAnsi="Wingdings" w:hint="default"/>
      </w:rPr>
    </w:lvl>
    <w:lvl w:ilvl="6" w:tplc="04090001" w:tentative="1">
      <w:start w:val="1"/>
      <w:numFmt w:val="bullet"/>
      <w:lvlText w:val=""/>
      <w:lvlJc w:val="left"/>
      <w:pPr>
        <w:ind w:left="4869" w:hanging="360"/>
      </w:pPr>
      <w:rPr>
        <w:rFonts w:ascii="Symbol" w:hAnsi="Symbol" w:hint="default"/>
      </w:rPr>
    </w:lvl>
    <w:lvl w:ilvl="7" w:tplc="04090003" w:tentative="1">
      <w:start w:val="1"/>
      <w:numFmt w:val="bullet"/>
      <w:lvlText w:val="o"/>
      <w:lvlJc w:val="left"/>
      <w:pPr>
        <w:ind w:left="5589" w:hanging="360"/>
      </w:pPr>
      <w:rPr>
        <w:rFonts w:ascii="Courier New" w:hAnsi="Courier New" w:cs="Courier New" w:hint="default"/>
      </w:rPr>
    </w:lvl>
    <w:lvl w:ilvl="8" w:tplc="04090005" w:tentative="1">
      <w:start w:val="1"/>
      <w:numFmt w:val="bullet"/>
      <w:lvlText w:val=""/>
      <w:lvlJc w:val="left"/>
      <w:pPr>
        <w:ind w:left="6309" w:hanging="360"/>
      </w:pPr>
      <w:rPr>
        <w:rFonts w:ascii="Wingdings" w:hAnsi="Wingdings" w:hint="default"/>
      </w:rPr>
    </w:lvl>
  </w:abstractNum>
  <w:abstractNum w:abstractNumId="16" w15:restartNumberingAfterBreak="0">
    <w:nsid w:val="72C94B30"/>
    <w:multiLevelType w:val="hybridMultilevel"/>
    <w:tmpl w:val="8AA43046"/>
    <w:lvl w:ilvl="0" w:tplc="9B4C280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3E4CF8"/>
    <w:multiLevelType w:val="hybridMultilevel"/>
    <w:tmpl w:val="F5AEA228"/>
    <w:lvl w:ilvl="0" w:tplc="8F1218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20621"/>
    <w:multiLevelType w:val="hybridMultilevel"/>
    <w:tmpl w:val="A5A67A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4349F"/>
    <w:multiLevelType w:val="hybridMultilevel"/>
    <w:tmpl w:val="5F00FBFA"/>
    <w:lvl w:ilvl="0" w:tplc="CB2275BE">
      <w:start w:val="20"/>
      <w:numFmt w:val="bullet"/>
      <w:lvlText w:val="-"/>
      <w:lvlJc w:val="left"/>
      <w:pPr>
        <w:ind w:left="720" w:hanging="360"/>
      </w:pPr>
      <w:rPr>
        <w:rFonts w:ascii="Cambria" w:eastAsia="Cambria" w:hAnsi="Cambria" w:cs="Cambri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5E29E1"/>
    <w:multiLevelType w:val="hybridMultilevel"/>
    <w:tmpl w:val="C96A9B96"/>
    <w:lvl w:ilvl="0" w:tplc="20A4A7DA">
      <w:start w:val="20"/>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45875"/>
    <w:multiLevelType w:val="hybridMultilevel"/>
    <w:tmpl w:val="EBF8093E"/>
    <w:lvl w:ilvl="0" w:tplc="76609CE8">
      <w:start w:val="1"/>
      <w:numFmt w:val="decimal"/>
      <w:lvlText w:val="%1."/>
      <w:lvlJc w:val="left"/>
      <w:pPr>
        <w:ind w:left="549" w:hanging="360"/>
      </w:pPr>
      <w:rPr>
        <w:rFonts w:hint="default"/>
        <w:color w:val="000000"/>
        <w:u w:val="none"/>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22" w15:restartNumberingAfterBreak="0">
    <w:nsid w:val="7BE146E0"/>
    <w:multiLevelType w:val="hybridMultilevel"/>
    <w:tmpl w:val="86201746"/>
    <w:lvl w:ilvl="0" w:tplc="EC5ACF3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834C31"/>
    <w:multiLevelType w:val="hybridMultilevel"/>
    <w:tmpl w:val="CDDA9C10"/>
    <w:lvl w:ilvl="0" w:tplc="9E9403F6">
      <w:numFmt w:val="bullet"/>
      <w:lvlText w:val="-"/>
      <w:lvlJc w:val="left"/>
      <w:pPr>
        <w:ind w:left="720" w:hanging="360"/>
      </w:pPr>
      <w:rPr>
        <w:rFonts w:ascii="Cambria" w:eastAsia="Cambria" w:hAnsi="Cambria" w:cs="Cambria"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0"/>
  </w:num>
  <w:num w:numId="4">
    <w:abstractNumId w:val="11"/>
  </w:num>
  <w:num w:numId="5">
    <w:abstractNumId w:val="22"/>
  </w:num>
  <w:num w:numId="6">
    <w:abstractNumId w:val="7"/>
  </w:num>
  <w:num w:numId="7">
    <w:abstractNumId w:val="16"/>
  </w:num>
  <w:num w:numId="8">
    <w:abstractNumId w:val="2"/>
  </w:num>
  <w:num w:numId="9">
    <w:abstractNumId w:val="18"/>
  </w:num>
  <w:num w:numId="10">
    <w:abstractNumId w:val="0"/>
  </w:num>
  <w:num w:numId="11">
    <w:abstractNumId w:val="4"/>
  </w:num>
  <w:num w:numId="12">
    <w:abstractNumId w:val="1"/>
  </w:num>
  <w:num w:numId="13">
    <w:abstractNumId w:val="3"/>
  </w:num>
  <w:num w:numId="14">
    <w:abstractNumId w:val="17"/>
  </w:num>
  <w:num w:numId="15">
    <w:abstractNumId w:val="15"/>
  </w:num>
  <w:num w:numId="16">
    <w:abstractNumId w:val="20"/>
  </w:num>
  <w:num w:numId="17">
    <w:abstractNumId w:val="19"/>
  </w:num>
  <w:num w:numId="18">
    <w:abstractNumId w:val="21"/>
  </w:num>
  <w:num w:numId="19">
    <w:abstractNumId w:val="23"/>
  </w:num>
  <w:num w:numId="20">
    <w:abstractNumId w:val="5"/>
  </w:num>
  <w:num w:numId="21">
    <w:abstractNumId w:val="9"/>
  </w:num>
  <w:num w:numId="22">
    <w:abstractNumId w:val="6"/>
  </w:num>
  <w:num w:numId="23">
    <w:abstractNumId w:val="14"/>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h Cohen-Gogo">
    <w15:presenceInfo w15:providerId="Windows Live" w15:userId="c9a0c00ac9b15981"/>
  </w15:person>
  <w15:person w15:author="Josh Nash">
    <w15:presenceInfo w15:providerId="AD" w15:userId="S::josh.nash@sickkids.ca::6e0d4f4e-4f41-467d-8f06-9fb255591481"/>
  </w15:person>
  <w15:person w15:author="Three Shlien">
    <w15:presenceInfo w15:providerId="Windows Live" w15:userId="7501844891a703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oNotDisplayPageBoundaries/>
  <w:doNotTrackMov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6D"/>
    <w:rsid w:val="00000B07"/>
    <w:rsid w:val="000011E7"/>
    <w:rsid w:val="00001693"/>
    <w:rsid w:val="00002C37"/>
    <w:rsid w:val="00002F2D"/>
    <w:rsid w:val="00003054"/>
    <w:rsid w:val="00003499"/>
    <w:rsid w:val="000035BD"/>
    <w:rsid w:val="000047AC"/>
    <w:rsid w:val="0000482B"/>
    <w:rsid w:val="00004DCB"/>
    <w:rsid w:val="000052DB"/>
    <w:rsid w:val="00005C79"/>
    <w:rsid w:val="00006295"/>
    <w:rsid w:val="00006335"/>
    <w:rsid w:val="00006699"/>
    <w:rsid w:val="000066CB"/>
    <w:rsid w:val="00007132"/>
    <w:rsid w:val="000071FA"/>
    <w:rsid w:val="00007A3A"/>
    <w:rsid w:val="0000F942"/>
    <w:rsid w:val="0001029C"/>
    <w:rsid w:val="0001064C"/>
    <w:rsid w:val="00010730"/>
    <w:rsid w:val="00010E67"/>
    <w:rsid w:val="00010EE9"/>
    <w:rsid w:val="00011ABC"/>
    <w:rsid w:val="00012304"/>
    <w:rsid w:val="00012B16"/>
    <w:rsid w:val="00013193"/>
    <w:rsid w:val="000146F9"/>
    <w:rsid w:val="00015066"/>
    <w:rsid w:val="00015239"/>
    <w:rsid w:val="000154C0"/>
    <w:rsid w:val="00015C01"/>
    <w:rsid w:val="00017FA5"/>
    <w:rsid w:val="00020868"/>
    <w:rsid w:val="000212E5"/>
    <w:rsid w:val="000217BC"/>
    <w:rsid w:val="00021F06"/>
    <w:rsid w:val="000220A1"/>
    <w:rsid w:val="0002279F"/>
    <w:rsid w:val="00022813"/>
    <w:rsid w:val="000232C5"/>
    <w:rsid w:val="0002339C"/>
    <w:rsid w:val="00023630"/>
    <w:rsid w:val="00024489"/>
    <w:rsid w:val="00025663"/>
    <w:rsid w:val="0002610D"/>
    <w:rsid w:val="00026969"/>
    <w:rsid w:val="00026C33"/>
    <w:rsid w:val="00031C69"/>
    <w:rsid w:val="00032C89"/>
    <w:rsid w:val="00034D0D"/>
    <w:rsid w:val="00035E56"/>
    <w:rsid w:val="000376AD"/>
    <w:rsid w:val="000402CD"/>
    <w:rsid w:val="00040F93"/>
    <w:rsid w:val="0004123D"/>
    <w:rsid w:val="00041F4D"/>
    <w:rsid w:val="000427F8"/>
    <w:rsid w:val="00045F1E"/>
    <w:rsid w:val="00046637"/>
    <w:rsid w:val="00046F94"/>
    <w:rsid w:val="00047AB8"/>
    <w:rsid w:val="00047ABA"/>
    <w:rsid w:val="00050418"/>
    <w:rsid w:val="00050A14"/>
    <w:rsid w:val="000513D9"/>
    <w:rsid w:val="000515C0"/>
    <w:rsid w:val="0005192F"/>
    <w:rsid w:val="00051A96"/>
    <w:rsid w:val="00052055"/>
    <w:rsid w:val="000521B6"/>
    <w:rsid w:val="00052304"/>
    <w:rsid w:val="00053A43"/>
    <w:rsid w:val="000541AF"/>
    <w:rsid w:val="00054E37"/>
    <w:rsid w:val="0005756C"/>
    <w:rsid w:val="00061634"/>
    <w:rsid w:val="00064D85"/>
    <w:rsid w:val="000652F1"/>
    <w:rsid w:val="00065FAC"/>
    <w:rsid w:val="0006619E"/>
    <w:rsid w:val="00067D8E"/>
    <w:rsid w:val="0007048A"/>
    <w:rsid w:val="000704D1"/>
    <w:rsid w:val="00070AC9"/>
    <w:rsid w:val="0007142C"/>
    <w:rsid w:val="00072F85"/>
    <w:rsid w:val="00074497"/>
    <w:rsid w:val="00074632"/>
    <w:rsid w:val="00076018"/>
    <w:rsid w:val="00076355"/>
    <w:rsid w:val="000771BE"/>
    <w:rsid w:val="0007775F"/>
    <w:rsid w:val="00081139"/>
    <w:rsid w:val="00081348"/>
    <w:rsid w:val="00081964"/>
    <w:rsid w:val="000831C6"/>
    <w:rsid w:val="000860C3"/>
    <w:rsid w:val="000865D7"/>
    <w:rsid w:val="0008713D"/>
    <w:rsid w:val="00087774"/>
    <w:rsid w:val="0009004F"/>
    <w:rsid w:val="00090F9E"/>
    <w:rsid w:val="0009136D"/>
    <w:rsid w:val="0009147E"/>
    <w:rsid w:val="0009227F"/>
    <w:rsid w:val="00092491"/>
    <w:rsid w:val="0009457D"/>
    <w:rsid w:val="000967A6"/>
    <w:rsid w:val="00096E38"/>
    <w:rsid w:val="00097006"/>
    <w:rsid w:val="0009747F"/>
    <w:rsid w:val="00097F3D"/>
    <w:rsid w:val="000A02EF"/>
    <w:rsid w:val="000A0A27"/>
    <w:rsid w:val="000A3AB7"/>
    <w:rsid w:val="000A4366"/>
    <w:rsid w:val="000A5314"/>
    <w:rsid w:val="000A598A"/>
    <w:rsid w:val="000A5B55"/>
    <w:rsid w:val="000A5F3C"/>
    <w:rsid w:val="000A7353"/>
    <w:rsid w:val="000A776B"/>
    <w:rsid w:val="000B0A19"/>
    <w:rsid w:val="000B1665"/>
    <w:rsid w:val="000B1787"/>
    <w:rsid w:val="000B2211"/>
    <w:rsid w:val="000B2AE0"/>
    <w:rsid w:val="000B2BBD"/>
    <w:rsid w:val="000B5261"/>
    <w:rsid w:val="000B569E"/>
    <w:rsid w:val="000B6088"/>
    <w:rsid w:val="000B6E23"/>
    <w:rsid w:val="000B7732"/>
    <w:rsid w:val="000C05E3"/>
    <w:rsid w:val="000C0675"/>
    <w:rsid w:val="000C0CF7"/>
    <w:rsid w:val="000C1562"/>
    <w:rsid w:val="000C2A5E"/>
    <w:rsid w:val="000C3AFE"/>
    <w:rsid w:val="000C3B40"/>
    <w:rsid w:val="000C46EE"/>
    <w:rsid w:val="000C60EF"/>
    <w:rsid w:val="000C65E5"/>
    <w:rsid w:val="000C6EAC"/>
    <w:rsid w:val="000C7B45"/>
    <w:rsid w:val="000D05BB"/>
    <w:rsid w:val="000D072A"/>
    <w:rsid w:val="000D0D45"/>
    <w:rsid w:val="000D17D7"/>
    <w:rsid w:val="000D2FA3"/>
    <w:rsid w:val="000D32AC"/>
    <w:rsid w:val="000D32C9"/>
    <w:rsid w:val="000D3409"/>
    <w:rsid w:val="000D3C10"/>
    <w:rsid w:val="000D56B1"/>
    <w:rsid w:val="000D5A96"/>
    <w:rsid w:val="000D5DC5"/>
    <w:rsid w:val="000D5FCE"/>
    <w:rsid w:val="000D6465"/>
    <w:rsid w:val="000D65D3"/>
    <w:rsid w:val="000D6991"/>
    <w:rsid w:val="000DB04C"/>
    <w:rsid w:val="000E03F7"/>
    <w:rsid w:val="000E04B6"/>
    <w:rsid w:val="000E0BEC"/>
    <w:rsid w:val="000E0DB1"/>
    <w:rsid w:val="000E12B8"/>
    <w:rsid w:val="000E154A"/>
    <w:rsid w:val="000E2A4C"/>
    <w:rsid w:val="000E2E76"/>
    <w:rsid w:val="000E3825"/>
    <w:rsid w:val="000E3ED6"/>
    <w:rsid w:val="000E47E0"/>
    <w:rsid w:val="000E4EDF"/>
    <w:rsid w:val="000E57ED"/>
    <w:rsid w:val="000E7260"/>
    <w:rsid w:val="000E761A"/>
    <w:rsid w:val="000E7922"/>
    <w:rsid w:val="000E7996"/>
    <w:rsid w:val="000E7FF3"/>
    <w:rsid w:val="000F1754"/>
    <w:rsid w:val="000F2CEE"/>
    <w:rsid w:val="000F322C"/>
    <w:rsid w:val="000F331F"/>
    <w:rsid w:val="000F3C44"/>
    <w:rsid w:val="000F3FAB"/>
    <w:rsid w:val="000F4616"/>
    <w:rsid w:val="000F493C"/>
    <w:rsid w:val="000F4E6A"/>
    <w:rsid w:val="000F53DE"/>
    <w:rsid w:val="000F612D"/>
    <w:rsid w:val="000F6543"/>
    <w:rsid w:val="000F766C"/>
    <w:rsid w:val="001005B4"/>
    <w:rsid w:val="0010083E"/>
    <w:rsid w:val="00100AA0"/>
    <w:rsid w:val="00101108"/>
    <w:rsid w:val="00101713"/>
    <w:rsid w:val="00103710"/>
    <w:rsid w:val="001038B9"/>
    <w:rsid w:val="00104C4A"/>
    <w:rsid w:val="001056F9"/>
    <w:rsid w:val="001074C7"/>
    <w:rsid w:val="00107779"/>
    <w:rsid w:val="00107976"/>
    <w:rsid w:val="001103CC"/>
    <w:rsid w:val="001103CF"/>
    <w:rsid w:val="00110BC9"/>
    <w:rsid w:val="00111127"/>
    <w:rsid w:val="001114C9"/>
    <w:rsid w:val="00111ABC"/>
    <w:rsid w:val="001125CA"/>
    <w:rsid w:val="00112A73"/>
    <w:rsid w:val="00112DAF"/>
    <w:rsid w:val="00112FF3"/>
    <w:rsid w:val="00113B6A"/>
    <w:rsid w:val="00114759"/>
    <w:rsid w:val="00115743"/>
    <w:rsid w:val="00115ED7"/>
    <w:rsid w:val="00116729"/>
    <w:rsid w:val="00116BCB"/>
    <w:rsid w:val="00117A84"/>
    <w:rsid w:val="00117BC7"/>
    <w:rsid w:val="001200A6"/>
    <w:rsid w:val="001203C1"/>
    <w:rsid w:val="00120BEC"/>
    <w:rsid w:val="0012162A"/>
    <w:rsid w:val="00121716"/>
    <w:rsid w:val="0012264A"/>
    <w:rsid w:val="00122C18"/>
    <w:rsid w:val="00122D74"/>
    <w:rsid w:val="00124A60"/>
    <w:rsid w:val="00124AE6"/>
    <w:rsid w:val="00125071"/>
    <w:rsid w:val="00126634"/>
    <w:rsid w:val="001268AF"/>
    <w:rsid w:val="0012709E"/>
    <w:rsid w:val="001271BC"/>
    <w:rsid w:val="0012721D"/>
    <w:rsid w:val="00127B7D"/>
    <w:rsid w:val="00130157"/>
    <w:rsid w:val="00130449"/>
    <w:rsid w:val="001314B3"/>
    <w:rsid w:val="00132A7B"/>
    <w:rsid w:val="001332CA"/>
    <w:rsid w:val="00133E38"/>
    <w:rsid w:val="001342F7"/>
    <w:rsid w:val="001343A2"/>
    <w:rsid w:val="00135FFC"/>
    <w:rsid w:val="001360FD"/>
    <w:rsid w:val="001363FE"/>
    <w:rsid w:val="00136A8D"/>
    <w:rsid w:val="001410A4"/>
    <w:rsid w:val="00141A31"/>
    <w:rsid w:val="00141C86"/>
    <w:rsid w:val="00141E75"/>
    <w:rsid w:val="001432D1"/>
    <w:rsid w:val="00143C2D"/>
    <w:rsid w:val="00144D01"/>
    <w:rsid w:val="00145D28"/>
    <w:rsid w:val="00146292"/>
    <w:rsid w:val="00146398"/>
    <w:rsid w:val="00147CA7"/>
    <w:rsid w:val="00152895"/>
    <w:rsid w:val="001531C1"/>
    <w:rsid w:val="001531D9"/>
    <w:rsid w:val="00153B31"/>
    <w:rsid w:val="001565F2"/>
    <w:rsid w:val="00156FFC"/>
    <w:rsid w:val="001605A1"/>
    <w:rsid w:val="00160E27"/>
    <w:rsid w:val="00161AA5"/>
    <w:rsid w:val="00161D6C"/>
    <w:rsid w:val="0016217D"/>
    <w:rsid w:val="001624A2"/>
    <w:rsid w:val="001626AB"/>
    <w:rsid w:val="0016344B"/>
    <w:rsid w:val="0016345C"/>
    <w:rsid w:val="001643F1"/>
    <w:rsid w:val="00165A34"/>
    <w:rsid w:val="001663F9"/>
    <w:rsid w:val="00166DCD"/>
    <w:rsid w:val="00167707"/>
    <w:rsid w:val="0016792E"/>
    <w:rsid w:val="001704E4"/>
    <w:rsid w:val="0017126D"/>
    <w:rsid w:val="001720BF"/>
    <w:rsid w:val="00172A24"/>
    <w:rsid w:val="00172ED4"/>
    <w:rsid w:val="00173A59"/>
    <w:rsid w:val="00174B66"/>
    <w:rsid w:val="0017501F"/>
    <w:rsid w:val="00175268"/>
    <w:rsid w:val="00176D4B"/>
    <w:rsid w:val="00177FDC"/>
    <w:rsid w:val="00180A9F"/>
    <w:rsid w:val="00181F75"/>
    <w:rsid w:val="0018243A"/>
    <w:rsid w:val="0018245B"/>
    <w:rsid w:val="00182E33"/>
    <w:rsid w:val="001830E8"/>
    <w:rsid w:val="00183940"/>
    <w:rsid w:val="00183C0B"/>
    <w:rsid w:val="0018572B"/>
    <w:rsid w:val="00185CFC"/>
    <w:rsid w:val="00186B96"/>
    <w:rsid w:val="00186F78"/>
    <w:rsid w:val="001902F6"/>
    <w:rsid w:val="0019068A"/>
    <w:rsid w:val="00191304"/>
    <w:rsid w:val="00191324"/>
    <w:rsid w:val="00192DD8"/>
    <w:rsid w:val="00193198"/>
    <w:rsid w:val="00193613"/>
    <w:rsid w:val="00194293"/>
    <w:rsid w:val="0019556B"/>
    <w:rsid w:val="001955BE"/>
    <w:rsid w:val="001962B6"/>
    <w:rsid w:val="00197498"/>
    <w:rsid w:val="001978B8"/>
    <w:rsid w:val="001A0C4A"/>
    <w:rsid w:val="001A2491"/>
    <w:rsid w:val="001A25B6"/>
    <w:rsid w:val="001A2783"/>
    <w:rsid w:val="001A2B6E"/>
    <w:rsid w:val="001A2C89"/>
    <w:rsid w:val="001A2FEC"/>
    <w:rsid w:val="001A5588"/>
    <w:rsid w:val="001A641E"/>
    <w:rsid w:val="001A7C90"/>
    <w:rsid w:val="001B03D0"/>
    <w:rsid w:val="001B0793"/>
    <w:rsid w:val="001B085E"/>
    <w:rsid w:val="001B128F"/>
    <w:rsid w:val="001B3015"/>
    <w:rsid w:val="001B30C7"/>
    <w:rsid w:val="001B392B"/>
    <w:rsid w:val="001B3CF9"/>
    <w:rsid w:val="001B4D9E"/>
    <w:rsid w:val="001B647A"/>
    <w:rsid w:val="001B658F"/>
    <w:rsid w:val="001B6717"/>
    <w:rsid w:val="001B6DFE"/>
    <w:rsid w:val="001B74A4"/>
    <w:rsid w:val="001B7830"/>
    <w:rsid w:val="001B7F4B"/>
    <w:rsid w:val="001C0641"/>
    <w:rsid w:val="001C0966"/>
    <w:rsid w:val="001C1365"/>
    <w:rsid w:val="001C246A"/>
    <w:rsid w:val="001C2E2E"/>
    <w:rsid w:val="001C332F"/>
    <w:rsid w:val="001C44AF"/>
    <w:rsid w:val="001C64E1"/>
    <w:rsid w:val="001C6861"/>
    <w:rsid w:val="001C6F09"/>
    <w:rsid w:val="001C6F76"/>
    <w:rsid w:val="001C7E9F"/>
    <w:rsid w:val="001D2124"/>
    <w:rsid w:val="001D22B3"/>
    <w:rsid w:val="001D2313"/>
    <w:rsid w:val="001D2769"/>
    <w:rsid w:val="001D2B31"/>
    <w:rsid w:val="001D340B"/>
    <w:rsid w:val="001D385E"/>
    <w:rsid w:val="001D4287"/>
    <w:rsid w:val="001D4B2F"/>
    <w:rsid w:val="001D4B63"/>
    <w:rsid w:val="001D4D69"/>
    <w:rsid w:val="001E0160"/>
    <w:rsid w:val="001E0680"/>
    <w:rsid w:val="001E1053"/>
    <w:rsid w:val="001E1EF0"/>
    <w:rsid w:val="001E2633"/>
    <w:rsid w:val="001E2C44"/>
    <w:rsid w:val="001E3070"/>
    <w:rsid w:val="001E386A"/>
    <w:rsid w:val="001E38A1"/>
    <w:rsid w:val="001E3ABF"/>
    <w:rsid w:val="001E3CD2"/>
    <w:rsid w:val="001E4A7C"/>
    <w:rsid w:val="001E4C77"/>
    <w:rsid w:val="001E5087"/>
    <w:rsid w:val="001E52A7"/>
    <w:rsid w:val="001E55BD"/>
    <w:rsid w:val="001E610C"/>
    <w:rsid w:val="001E63ED"/>
    <w:rsid w:val="001E73FD"/>
    <w:rsid w:val="001F0EF3"/>
    <w:rsid w:val="001F2337"/>
    <w:rsid w:val="001F251A"/>
    <w:rsid w:val="001F2882"/>
    <w:rsid w:val="001F2A7D"/>
    <w:rsid w:val="001F4695"/>
    <w:rsid w:val="001F5E2A"/>
    <w:rsid w:val="001F617F"/>
    <w:rsid w:val="001F6318"/>
    <w:rsid w:val="001F6C2E"/>
    <w:rsid w:val="001F6CC5"/>
    <w:rsid w:val="00200A23"/>
    <w:rsid w:val="00200AE8"/>
    <w:rsid w:val="002029B0"/>
    <w:rsid w:val="002042C4"/>
    <w:rsid w:val="00204792"/>
    <w:rsid w:val="0021094B"/>
    <w:rsid w:val="00212007"/>
    <w:rsid w:val="002122A4"/>
    <w:rsid w:val="00212A76"/>
    <w:rsid w:val="00214700"/>
    <w:rsid w:val="00214D20"/>
    <w:rsid w:val="0021545B"/>
    <w:rsid w:val="0021618F"/>
    <w:rsid w:val="002168B0"/>
    <w:rsid w:val="0022004A"/>
    <w:rsid w:val="00220077"/>
    <w:rsid w:val="00220602"/>
    <w:rsid w:val="002218BA"/>
    <w:rsid w:val="00222FB2"/>
    <w:rsid w:val="002230FF"/>
    <w:rsid w:val="00223289"/>
    <w:rsid w:val="00224E79"/>
    <w:rsid w:val="00225C01"/>
    <w:rsid w:val="002265DB"/>
    <w:rsid w:val="00226F94"/>
    <w:rsid w:val="002301F5"/>
    <w:rsid w:val="00231DD3"/>
    <w:rsid w:val="00232A9D"/>
    <w:rsid w:val="0023356B"/>
    <w:rsid w:val="00233D13"/>
    <w:rsid w:val="00234858"/>
    <w:rsid w:val="00235044"/>
    <w:rsid w:val="00235092"/>
    <w:rsid w:val="002364DB"/>
    <w:rsid w:val="002366AE"/>
    <w:rsid w:val="00236989"/>
    <w:rsid w:val="002376CB"/>
    <w:rsid w:val="00237870"/>
    <w:rsid w:val="00237A0E"/>
    <w:rsid w:val="002411E7"/>
    <w:rsid w:val="00241A62"/>
    <w:rsid w:val="002428B8"/>
    <w:rsid w:val="00243748"/>
    <w:rsid w:val="00245831"/>
    <w:rsid w:val="00246AAD"/>
    <w:rsid w:val="00246CD0"/>
    <w:rsid w:val="00246FF1"/>
    <w:rsid w:val="00247652"/>
    <w:rsid w:val="00247747"/>
    <w:rsid w:val="00247E6B"/>
    <w:rsid w:val="00248FB9"/>
    <w:rsid w:val="002500D0"/>
    <w:rsid w:val="00250EBC"/>
    <w:rsid w:val="002515B2"/>
    <w:rsid w:val="00251810"/>
    <w:rsid w:val="0025289C"/>
    <w:rsid w:val="0025333A"/>
    <w:rsid w:val="002540E6"/>
    <w:rsid w:val="002554C7"/>
    <w:rsid w:val="00255936"/>
    <w:rsid w:val="00255C22"/>
    <w:rsid w:val="00257A68"/>
    <w:rsid w:val="00260641"/>
    <w:rsid w:val="00260ED7"/>
    <w:rsid w:val="0026105A"/>
    <w:rsid w:val="002610CB"/>
    <w:rsid w:val="002627D8"/>
    <w:rsid w:val="00263D8C"/>
    <w:rsid w:val="00264DD7"/>
    <w:rsid w:val="00265651"/>
    <w:rsid w:val="002707FD"/>
    <w:rsid w:val="002710B9"/>
    <w:rsid w:val="0027140C"/>
    <w:rsid w:val="0027183A"/>
    <w:rsid w:val="00271A59"/>
    <w:rsid w:val="00271E66"/>
    <w:rsid w:val="002723BD"/>
    <w:rsid w:val="00272ECD"/>
    <w:rsid w:val="0027317A"/>
    <w:rsid w:val="002738BD"/>
    <w:rsid w:val="002750D4"/>
    <w:rsid w:val="002755EC"/>
    <w:rsid w:val="00275FA7"/>
    <w:rsid w:val="00276590"/>
    <w:rsid w:val="002765B1"/>
    <w:rsid w:val="00276631"/>
    <w:rsid w:val="002773AD"/>
    <w:rsid w:val="002773DE"/>
    <w:rsid w:val="002775D7"/>
    <w:rsid w:val="00280388"/>
    <w:rsid w:val="00280588"/>
    <w:rsid w:val="00281F74"/>
    <w:rsid w:val="00282518"/>
    <w:rsid w:val="002825B4"/>
    <w:rsid w:val="0028270C"/>
    <w:rsid w:val="00283271"/>
    <w:rsid w:val="00284F8F"/>
    <w:rsid w:val="00285B68"/>
    <w:rsid w:val="00285FF3"/>
    <w:rsid w:val="002867C0"/>
    <w:rsid w:val="00291B37"/>
    <w:rsid w:val="00291DB0"/>
    <w:rsid w:val="00291F83"/>
    <w:rsid w:val="00292323"/>
    <w:rsid w:val="00292562"/>
    <w:rsid w:val="00292DF2"/>
    <w:rsid w:val="0029301E"/>
    <w:rsid w:val="0029452F"/>
    <w:rsid w:val="00294651"/>
    <w:rsid w:val="00294F5A"/>
    <w:rsid w:val="00295661"/>
    <w:rsid w:val="00295DBE"/>
    <w:rsid w:val="00295E6B"/>
    <w:rsid w:val="002A07BC"/>
    <w:rsid w:val="002A0DA5"/>
    <w:rsid w:val="002A1C62"/>
    <w:rsid w:val="002A2BF0"/>
    <w:rsid w:val="002A5CF9"/>
    <w:rsid w:val="002A5F6C"/>
    <w:rsid w:val="002A5F9C"/>
    <w:rsid w:val="002A6F96"/>
    <w:rsid w:val="002B0D37"/>
    <w:rsid w:val="002B1DCC"/>
    <w:rsid w:val="002B35D2"/>
    <w:rsid w:val="002B3CE9"/>
    <w:rsid w:val="002B402A"/>
    <w:rsid w:val="002B410E"/>
    <w:rsid w:val="002B4A37"/>
    <w:rsid w:val="002B4BD7"/>
    <w:rsid w:val="002B55FA"/>
    <w:rsid w:val="002B5EFB"/>
    <w:rsid w:val="002B653E"/>
    <w:rsid w:val="002B745D"/>
    <w:rsid w:val="002B75B7"/>
    <w:rsid w:val="002B7743"/>
    <w:rsid w:val="002B7807"/>
    <w:rsid w:val="002C0727"/>
    <w:rsid w:val="002C1E85"/>
    <w:rsid w:val="002C25C9"/>
    <w:rsid w:val="002C3046"/>
    <w:rsid w:val="002C5951"/>
    <w:rsid w:val="002C5B9B"/>
    <w:rsid w:val="002C6A05"/>
    <w:rsid w:val="002C6A41"/>
    <w:rsid w:val="002C70B2"/>
    <w:rsid w:val="002D033C"/>
    <w:rsid w:val="002D222B"/>
    <w:rsid w:val="002D5CBC"/>
    <w:rsid w:val="002D678C"/>
    <w:rsid w:val="002D73DE"/>
    <w:rsid w:val="002E134F"/>
    <w:rsid w:val="002E1A55"/>
    <w:rsid w:val="002E1B85"/>
    <w:rsid w:val="002E261E"/>
    <w:rsid w:val="002E2CFF"/>
    <w:rsid w:val="002E3FF0"/>
    <w:rsid w:val="002E47C6"/>
    <w:rsid w:val="002E47E6"/>
    <w:rsid w:val="002E4F0F"/>
    <w:rsid w:val="002E5A44"/>
    <w:rsid w:val="002E7C1A"/>
    <w:rsid w:val="002F0148"/>
    <w:rsid w:val="002F0369"/>
    <w:rsid w:val="002F0891"/>
    <w:rsid w:val="002F0D20"/>
    <w:rsid w:val="002F1B31"/>
    <w:rsid w:val="002F28EF"/>
    <w:rsid w:val="002F2DF4"/>
    <w:rsid w:val="002F390F"/>
    <w:rsid w:val="002F5574"/>
    <w:rsid w:val="002F67C7"/>
    <w:rsid w:val="002F6DDE"/>
    <w:rsid w:val="00301A58"/>
    <w:rsid w:val="00301C72"/>
    <w:rsid w:val="00303829"/>
    <w:rsid w:val="00305919"/>
    <w:rsid w:val="003062B5"/>
    <w:rsid w:val="00307282"/>
    <w:rsid w:val="00307591"/>
    <w:rsid w:val="0031005C"/>
    <w:rsid w:val="00310732"/>
    <w:rsid w:val="0031154C"/>
    <w:rsid w:val="00311EFA"/>
    <w:rsid w:val="00311F72"/>
    <w:rsid w:val="0031238F"/>
    <w:rsid w:val="003133CF"/>
    <w:rsid w:val="00314188"/>
    <w:rsid w:val="00314706"/>
    <w:rsid w:val="00314934"/>
    <w:rsid w:val="00316239"/>
    <w:rsid w:val="00316922"/>
    <w:rsid w:val="00317391"/>
    <w:rsid w:val="00317FE4"/>
    <w:rsid w:val="00320EFF"/>
    <w:rsid w:val="00321564"/>
    <w:rsid w:val="00321933"/>
    <w:rsid w:val="003222F4"/>
    <w:rsid w:val="00323104"/>
    <w:rsid w:val="00324BEE"/>
    <w:rsid w:val="00326FF0"/>
    <w:rsid w:val="00327D15"/>
    <w:rsid w:val="00327E9A"/>
    <w:rsid w:val="00330C0F"/>
    <w:rsid w:val="00332F59"/>
    <w:rsid w:val="00333152"/>
    <w:rsid w:val="00333642"/>
    <w:rsid w:val="003338EF"/>
    <w:rsid w:val="00333BC9"/>
    <w:rsid w:val="0033475C"/>
    <w:rsid w:val="003349C9"/>
    <w:rsid w:val="003349CF"/>
    <w:rsid w:val="00335CC1"/>
    <w:rsid w:val="003362F8"/>
    <w:rsid w:val="00336DE5"/>
    <w:rsid w:val="00337497"/>
    <w:rsid w:val="003404F2"/>
    <w:rsid w:val="003410F8"/>
    <w:rsid w:val="0034155E"/>
    <w:rsid w:val="00341875"/>
    <w:rsid w:val="00342036"/>
    <w:rsid w:val="003423F6"/>
    <w:rsid w:val="003426DC"/>
    <w:rsid w:val="00342A68"/>
    <w:rsid w:val="0034302B"/>
    <w:rsid w:val="003436B0"/>
    <w:rsid w:val="003437B6"/>
    <w:rsid w:val="00344175"/>
    <w:rsid w:val="003443C0"/>
    <w:rsid w:val="00344DC2"/>
    <w:rsid w:val="0034514F"/>
    <w:rsid w:val="00346A01"/>
    <w:rsid w:val="00346DCD"/>
    <w:rsid w:val="003478FD"/>
    <w:rsid w:val="00347FD6"/>
    <w:rsid w:val="00350CFC"/>
    <w:rsid w:val="0035175E"/>
    <w:rsid w:val="0035217D"/>
    <w:rsid w:val="00353075"/>
    <w:rsid w:val="0035496D"/>
    <w:rsid w:val="00356729"/>
    <w:rsid w:val="0035678C"/>
    <w:rsid w:val="00356E34"/>
    <w:rsid w:val="00360465"/>
    <w:rsid w:val="003605DB"/>
    <w:rsid w:val="00362523"/>
    <w:rsid w:val="00363463"/>
    <w:rsid w:val="003635DD"/>
    <w:rsid w:val="003652E8"/>
    <w:rsid w:val="003658CE"/>
    <w:rsid w:val="003669C9"/>
    <w:rsid w:val="0036700F"/>
    <w:rsid w:val="00367EF8"/>
    <w:rsid w:val="00367F41"/>
    <w:rsid w:val="00370445"/>
    <w:rsid w:val="00370498"/>
    <w:rsid w:val="00370A0B"/>
    <w:rsid w:val="003727DF"/>
    <w:rsid w:val="003733B3"/>
    <w:rsid w:val="003735EB"/>
    <w:rsid w:val="00373D2E"/>
    <w:rsid w:val="00373E26"/>
    <w:rsid w:val="0037496A"/>
    <w:rsid w:val="00375A5E"/>
    <w:rsid w:val="003767DD"/>
    <w:rsid w:val="00377C23"/>
    <w:rsid w:val="003801FA"/>
    <w:rsid w:val="00380A66"/>
    <w:rsid w:val="00381186"/>
    <w:rsid w:val="00381963"/>
    <w:rsid w:val="00381DC7"/>
    <w:rsid w:val="00382019"/>
    <w:rsid w:val="00382BF3"/>
    <w:rsid w:val="00382E78"/>
    <w:rsid w:val="00383DA6"/>
    <w:rsid w:val="00385267"/>
    <w:rsid w:val="00385D48"/>
    <w:rsid w:val="00386753"/>
    <w:rsid w:val="00386A77"/>
    <w:rsid w:val="00387239"/>
    <w:rsid w:val="00387C82"/>
    <w:rsid w:val="00387F02"/>
    <w:rsid w:val="003904FF"/>
    <w:rsid w:val="00390B4B"/>
    <w:rsid w:val="0039157D"/>
    <w:rsid w:val="00391B7D"/>
    <w:rsid w:val="00392F2A"/>
    <w:rsid w:val="00394003"/>
    <w:rsid w:val="00394852"/>
    <w:rsid w:val="00394A4C"/>
    <w:rsid w:val="00394C5B"/>
    <w:rsid w:val="003950AF"/>
    <w:rsid w:val="003959A9"/>
    <w:rsid w:val="00395D89"/>
    <w:rsid w:val="00396492"/>
    <w:rsid w:val="0039695F"/>
    <w:rsid w:val="00396C75"/>
    <w:rsid w:val="003A0259"/>
    <w:rsid w:val="003A02B8"/>
    <w:rsid w:val="003A0D86"/>
    <w:rsid w:val="003A2675"/>
    <w:rsid w:val="003A39D4"/>
    <w:rsid w:val="003A3FE3"/>
    <w:rsid w:val="003A4A88"/>
    <w:rsid w:val="003A4C09"/>
    <w:rsid w:val="003A57A0"/>
    <w:rsid w:val="003A6817"/>
    <w:rsid w:val="003A7229"/>
    <w:rsid w:val="003A7317"/>
    <w:rsid w:val="003A7571"/>
    <w:rsid w:val="003A771F"/>
    <w:rsid w:val="003A7AD9"/>
    <w:rsid w:val="003B136C"/>
    <w:rsid w:val="003B13F9"/>
    <w:rsid w:val="003B1B70"/>
    <w:rsid w:val="003B487E"/>
    <w:rsid w:val="003B4A27"/>
    <w:rsid w:val="003B4DB2"/>
    <w:rsid w:val="003B5B8E"/>
    <w:rsid w:val="003B5EF3"/>
    <w:rsid w:val="003B6169"/>
    <w:rsid w:val="003B648D"/>
    <w:rsid w:val="003B7243"/>
    <w:rsid w:val="003B7DC3"/>
    <w:rsid w:val="003C01C6"/>
    <w:rsid w:val="003C14CB"/>
    <w:rsid w:val="003C1F8F"/>
    <w:rsid w:val="003C2785"/>
    <w:rsid w:val="003C3F27"/>
    <w:rsid w:val="003C3F66"/>
    <w:rsid w:val="003C4382"/>
    <w:rsid w:val="003C43CD"/>
    <w:rsid w:val="003C4D90"/>
    <w:rsid w:val="003C4DEB"/>
    <w:rsid w:val="003C56C3"/>
    <w:rsid w:val="003C6F21"/>
    <w:rsid w:val="003C72A5"/>
    <w:rsid w:val="003D191A"/>
    <w:rsid w:val="003D1DEB"/>
    <w:rsid w:val="003D275B"/>
    <w:rsid w:val="003D3648"/>
    <w:rsid w:val="003D402A"/>
    <w:rsid w:val="003D482A"/>
    <w:rsid w:val="003D4DC2"/>
    <w:rsid w:val="003D5F02"/>
    <w:rsid w:val="003D621F"/>
    <w:rsid w:val="003D6E18"/>
    <w:rsid w:val="003D7078"/>
    <w:rsid w:val="003D772E"/>
    <w:rsid w:val="003D7FF3"/>
    <w:rsid w:val="003E0156"/>
    <w:rsid w:val="003E0A6C"/>
    <w:rsid w:val="003E1812"/>
    <w:rsid w:val="003E3557"/>
    <w:rsid w:val="003E416F"/>
    <w:rsid w:val="003E41A7"/>
    <w:rsid w:val="003E55E3"/>
    <w:rsid w:val="003E5CD5"/>
    <w:rsid w:val="003E5F18"/>
    <w:rsid w:val="003E6482"/>
    <w:rsid w:val="003E6E37"/>
    <w:rsid w:val="003E6F3F"/>
    <w:rsid w:val="003E71A3"/>
    <w:rsid w:val="003F1700"/>
    <w:rsid w:val="003F1B5A"/>
    <w:rsid w:val="003F2289"/>
    <w:rsid w:val="003F4308"/>
    <w:rsid w:val="003F483C"/>
    <w:rsid w:val="003F5017"/>
    <w:rsid w:val="003F52F6"/>
    <w:rsid w:val="003F6F06"/>
    <w:rsid w:val="003F7685"/>
    <w:rsid w:val="003F7F6C"/>
    <w:rsid w:val="00400D58"/>
    <w:rsid w:val="00401104"/>
    <w:rsid w:val="0040271C"/>
    <w:rsid w:val="004027D1"/>
    <w:rsid w:val="00402AA1"/>
    <w:rsid w:val="00402CE2"/>
    <w:rsid w:val="00403393"/>
    <w:rsid w:val="0040344A"/>
    <w:rsid w:val="0040360A"/>
    <w:rsid w:val="00403684"/>
    <w:rsid w:val="004036A3"/>
    <w:rsid w:val="00403D9A"/>
    <w:rsid w:val="00403EC3"/>
    <w:rsid w:val="004041F0"/>
    <w:rsid w:val="00405D14"/>
    <w:rsid w:val="00405EE9"/>
    <w:rsid w:val="00406504"/>
    <w:rsid w:val="00407A23"/>
    <w:rsid w:val="00410865"/>
    <w:rsid w:val="00411D66"/>
    <w:rsid w:val="0041218B"/>
    <w:rsid w:val="00412257"/>
    <w:rsid w:val="00413551"/>
    <w:rsid w:val="0041393B"/>
    <w:rsid w:val="00413E15"/>
    <w:rsid w:val="00414145"/>
    <w:rsid w:val="004157AF"/>
    <w:rsid w:val="0041644E"/>
    <w:rsid w:val="0041685D"/>
    <w:rsid w:val="00416D76"/>
    <w:rsid w:val="00417671"/>
    <w:rsid w:val="00417817"/>
    <w:rsid w:val="004205CD"/>
    <w:rsid w:val="00420B21"/>
    <w:rsid w:val="004221AD"/>
    <w:rsid w:val="004224B3"/>
    <w:rsid w:val="0042513F"/>
    <w:rsid w:val="00425BD2"/>
    <w:rsid w:val="00426020"/>
    <w:rsid w:val="0042611A"/>
    <w:rsid w:val="0042655B"/>
    <w:rsid w:val="004278CF"/>
    <w:rsid w:val="00430267"/>
    <w:rsid w:val="00430957"/>
    <w:rsid w:val="00430ACB"/>
    <w:rsid w:val="004313D6"/>
    <w:rsid w:val="00431631"/>
    <w:rsid w:val="0043179C"/>
    <w:rsid w:val="004320B3"/>
    <w:rsid w:val="0043237C"/>
    <w:rsid w:val="00432AFE"/>
    <w:rsid w:val="00433631"/>
    <w:rsid w:val="00433EBC"/>
    <w:rsid w:val="0043449F"/>
    <w:rsid w:val="004344D6"/>
    <w:rsid w:val="0043631A"/>
    <w:rsid w:val="00436369"/>
    <w:rsid w:val="004368ED"/>
    <w:rsid w:val="00436C2B"/>
    <w:rsid w:val="0043710B"/>
    <w:rsid w:val="0043745E"/>
    <w:rsid w:val="00437B06"/>
    <w:rsid w:val="0044003D"/>
    <w:rsid w:val="00440BA1"/>
    <w:rsid w:val="0044130C"/>
    <w:rsid w:val="00441E01"/>
    <w:rsid w:val="00442EDC"/>
    <w:rsid w:val="0044311E"/>
    <w:rsid w:val="0044358C"/>
    <w:rsid w:val="00444761"/>
    <w:rsid w:val="00444BFD"/>
    <w:rsid w:val="00444D68"/>
    <w:rsid w:val="0044550B"/>
    <w:rsid w:val="00446452"/>
    <w:rsid w:val="0044721B"/>
    <w:rsid w:val="00447260"/>
    <w:rsid w:val="00449B51"/>
    <w:rsid w:val="0045050E"/>
    <w:rsid w:val="004517EE"/>
    <w:rsid w:val="004518F8"/>
    <w:rsid w:val="00452D53"/>
    <w:rsid w:val="00452EFC"/>
    <w:rsid w:val="004534E6"/>
    <w:rsid w:val="0045350F"/>
    <w:rsid w:val="0045474B"/>
    <w:rsid w:val="00454E2D"/>
    <w:rsid w:val="004563B1"/>
    <w:rsid w:val="004566BD"/>
    <w:rsid w:val="004569AA"/>
    <w:rsid w:val="0046021E"/>
    <w:rsid w:val="004606A6"/>
    <w:rsid w:val="00461596"/>
    <w:rsid w:val="00461B91"/>
    <w:rsid w:val="00461BCC"/>
    <w:rsid w:val="00462B85"/>
    <w:rsid w:val="00462E75"/>
    <w:rsid w:val="004631D2"/>
    <w:rsid w:val="00463A1A"/>
    <w:rsid w:val="00463DFB"/>
    <w:rsid w:val="00464809"/>
    <w:rsid w:val="004667C6"/>
    <w:rsid w:val="0046685E"/>
    <w:rsid w:val="00466A1C"/>
    <w:rsid w:val="00466DAE"/>
    <w:rsid w:val="00472C3B"/>
    <w:rsid w:val="004730A3"/>
    <w:rsid w:val="0047348B"/>
    <w:rsid w:val="004740D4"/>
    <w:rsid w:val="0047420E"/>
    <w:rsid w:val="00474B35"/>
    <w:rsid w:val="0047576D"/>
    <w:rsid w:val="004758F4"/>
    <w:rsid w:val="004814EE"/>
    <w:rsid w:val="00482307"/>
    <w:rsid w:val="0048230E"/>
    <w:rsid w:val="004826B1"/>
    <w:rsid w:val="00482E3D"/>
    <w:rsid w:val="00483254"/>
    <w:rsid w:val="00483921"/>
    <w:rsid w:val="00483EC0"/>
    <w:rsid w:val="00485852"/>
    <w:rsid w:val="004863B9"/>
    <w:rsid w:val="004870FF"/>
    <w:rsid w:val="00487C20"/>
    <w:rsid w:val="0049021D"/>
    <w:rsid w:val="004935C1"/>
    <w:rsid w:val="00493B69"/>
    <w:rsid w:val="00494078"/>
    <w:rsid w:val="00494A2B"/>
    <w:rsid w:val="00495ECE"/>
    <w:rsid w:val="00497518"/>
    <w:rsid w:val="004977E7"/>
    <w:rsid w:val="00497997"/>
    <w:rsid w:val="004A012D"/>
    <w:rsid w:val="004A2119"/>
    <w:rsid w:val="004A2344"/>
    <w:rsid w:val="004A26DA"/>
    <w:rsid w:val="004A375D"/>
    <w:rsid w:val="004A4094"/>
    <w:rsid w:val="004A5312"/>
    <w:rsid w:val="004A5865"/>
    <w:rsid w:val="004A63AA"/>
    <w:rsid w:val="004A66ED"/>
    <w:rsid w:val="004A7CED"/>
    <w:rsid w:val="004B122B"/>
    <w:rsid w:val="004B2377"/>
    <w:rsid w:val="004B3809"/>
    <w:rsid w:val="004B3B21"/>
    <w:rsid w:val="004B3F01"/>
    <w:rsid w:val="004B430E"/>
    <w:rsid w:val="004B4BFD"/>
    <w:rsid w:val="004B6887"/>
    <w:rsid w:val="004B6910"/>
    <w:rsid w:val="004B7C4C"/>
    <w:rsid w:val="004C00E8"/>
    <w:rsid w:val="004C0269"/>
    <w:rsid w:val="004C030B"/>
    <w:rsid w:val="004C045F"/>
    <w:rsid w:val="004C05A9"/>
    <w:rsid w:val="004C0760"/>
    <w:rsid w:val="004C0848"/>
    <w:rsid w:val="004C0C98"/>
    <w:rsid w:val="004C1B53"/>
    <w:rsid w:val="004C2426"/>
    <w:rsid w:val="004C2456"/>
    <w:rsid w:val="004C2716"/>
    <w:rsid w:val="004C279D"/>
    <w:rsid w:val="004C2D30"/>
    <w:rsid w:val="004C3619"/>
    <w:rsid w:val="004C3B5C"/>
    <w:rsid w:val="004C42CC"/>
    <w:rsid w:val="004C4CC3"/>
    <w:rsid w:val="004C4E53"/>
    <w:rsid w:val="004C5D97"/>
    <w:rsid w:val="004C7546"/>
    <w:rsid w:val="004D0283"/>
    <w:rsid w:val="004D07F5"/>
    <w:rsid w:val="004D191D"/>
    <w:rsid w:val="004D2E33"/>
    <w:rsid w:val="004D32D2"/>
    <w:rsid w:val="004D3EE8"/>
    <w:rsid w:val="004D458D"/>
    <w:rsid w:val="004D65C0"/>
    <w:rsid w:val="004D74B9"/>
    <w:rsid w:val="004E048C"/>
    <w:rsid w:val="004E144A"/>
    <w:rsid w:val="004E33C6"/>
    <w:rsid w:val="004E34DB"/>
    <w:rsid w:val="004E362B"/>
    <w:rsid w:val="004E3B8A"/>
    <w:rsid w:val="004E3C0A"/>
    <w:rsid w:val="004E4965"/>
    <w:rsid w:val="004E4DD3"/>
    <w:rsid w:val="004E4EE9"/>
    <w:rsid w:val="004E509F"/>
    <w:rsid w:val="004E5AE4"/>
    <w:rsid w:val="004E6E48"/>
    <w:rsid w:val="004E7AF7"/>
    <w:rsid w:val="004F0C2C"/>
    <w:rsid w:val="004F0D3F"/>
    <w:rsid w:val="004F0F57"/>
    <w:rsid w:val="004F1331"/>
    <w:rsid w:val="004F35FB"/>
    <w:rsid w:val="004F3CCC"/>
    <w:rsid w:val="004F4300"/>
    <w:rsid w:val="004F4817"/>
    <w:rsid w:val="004F4874"/>
    <w:rsid w:val="004F551C"/>
    <w:rsid w:val="004F5EDA"/>
    <w:rsid w:val="004F64C6"/>
    <w:rsid w:val="004F6BCB"/>
    <w:rsid w:val="004F7B45"/>
    <w:rsid w:val="00500DF4"/>
    <w:rsid w:val="00501551"/>
    <w:rsid w:val="005020D4"/>
    <w:rsid w:val="005031F3"/>
    <w:rsid w:val="00503684"/>
    <w:rsid w:val="00504067"/>
    <w:rsid w:val="005040B7"/>
    <w:rsid w:val="00505085"/>
    <w:rsid w:val="005057E1"/>
    <w:rsid w:val="00505F24"/>
    <w:rsid w:val="00506088"/>
    <w:rsid w:val="00507376"/>
    <w:rsid w:val="005076CF"/>
    <w:rsid w:val="005107AC"/>
    <w:rsid w:val="0051130B"/>
    <w:rsid w:val="0051178D"/>
    <w:rsid w:val="00514922"/>
    <w:rsid w:val="00515933"/>
    <w:rsid w:val="005159EE"/>
    <w:rsid w:val="005168DB"/>
    <w:rsid w:val="00517E28"/>
    <w:rsid w:val="005210FE"/>
    <w:rsid w:val="00521539"/>
    <w:rsid w:val="0052176F"/>
    <w:rsid w:val="00521E12"/>
    <w:rsid w:val="005220A4"/>
    <w:rsid w:val="005236F6"/>
    <w:rsid w:val="00525475"/>
    <w:rsid w:val="0052589C"/>
    <w:rsid w:val="00525F7D"/>
    <w:rsid w:val="0052751B"/>
    <w:rsid w:val="00527621"/>
    <w:rsid w:val="00531590"/>
    <w:rsid w:val="005325ED"/>
    <w:rsid w:val="00532D7D"/>
    <w:rsid w:val="00533345"/>
    <w:rsid w:val="0053496A"/>
    <w:rsid w:val="00535290"/>
    <w:rsid w:val="0053703B"/>
    <w:rsid w:val="005373A5"/>
    <w:rsid w:val="005408AF"/>
    <w:rsid w:val="00541167"/>
    <w:rsid w:val="00542014"/>
    <w:rsid w:val="00543776"/>
    <w:rsid w:val="005438EE"/>
    <w:rsid w:val="00544EE1"/>
    <w:rsid w:val="005456AE"/>
    <w:rsid w:val="005502E8"/>
    <w:rsid w:val="00550BAB"/>
    <w:rsid w:val="0055155F"/>
    <w:rsid w:val="00551DD0"/>
    <w:rsid w:val="0055240B"/>
    <w:rsid w:val="005526C0"/>
    <w:rsid w:val="00552C7B"/>
    <w:rsid w:val="00552CCF"/>
    <w:rsid w:val="00553F55"/>
    <w:rsid w:val="00554076"/>
    <w:rsid w:val="0055420A"/>
    <w:rsid w:val="00554375"/>
    <w:rsid w:val="005547CA"/>
    <w:rsid w:val="005552C4"/>
    <w:rsid w:val="0055636A"/>
    <w:rsid w:val="005565D2"/>
    <w:rsid w:val="00556B68"/>
    <w:rsid w:val="00561027"/>
    <w:rsid w:val="00561118"/>
    <w:rsid w:val="005614F3"/>
    <w:rsid w:val="00561585"/>
    <w:rsid w:val="00562438"/>
    <w:rsid w:val="00562AD3"/>
    <w:rsid w:val="00563AEA"/>
    <w:rsid w:val="00563DD7"/>
    <w:rsid w:val="005642DF"/>
    <w:rsid w:val="005648A3"/>
    <w:rsid w:val="00565301"/>
    <w:rsid w:val="005656D9"/>
    <w:rsid w:val="00565E8A"/>
    <w:rsid w:val="00565FC5"/>
    <w:rsid w:val="005668BA"/>
    <w:rsid w:val="0056739F"/>
    <w:rsid w:val="0056796B"/>
    <w:rsid w:val="0057050E"/>
    <w:rsid w:val="00572425"/>
    <w:rsid w:val="00572BB6"/>
    <w:rsid w:val="005750FA"/>
    <w:rsid w:val="005751B0"/>
    <w:rsid w:val="00575B47"/>
    <w:rsid w:val="00575BC0"/>
    <w:rsid w:val="0057639E"/>
    <w:rsid w:val="00577172"/>
    <w:rsid w:val="005778B6"/>
    <w:rsid w:val="00577B84"/>
    <w:rsid w:val="00581508"/>
    <w:rsid w:val="005816CB"/>
    <w:rsid w:val="005818B6"/>
    <w:rsid w:val="005821E2"/>
    <w:rsid w:val="005840B9"/>
    <w:rsid w:val="005842F8"/>
    <w:rsid w:val="005845E2"/>
    <w:rsid w:val="005849D0"/>
    <w:rsid w:val="00584ACE"/>
    <w:rsid w:val="00584B3A"/>
    <w:rsid w:val="00586AA3"/>
    <w:rsid w:val="00587CFA"/>
    <w:rsid w:val="00591D82"/>
    <w:rsid w:val="00591EE7"/>
    <w:rsid w:val="005924B3"/>
    <w:rsid w:val="0059281E"/>
    <w:rsid w:val="00592E55"/>
    <w:rsid w:val="00593A30"/>
    <w:rsid w:val="00593B06"/>
    <w:rsid w:val="00593C03"/>
    <w:rsid w:val="00595741"/>
    <w:rsid w:val="00596830"/>
    <w:rsid w:val="00597BF6"/>
    <w:rsid w:val="005A093E"/>
    <w:rsid w:val="005A165D"/>
    <w:rsid w:val="005A2874"/>
    <w:rsid w:val="005A2917"/>
    <w:rsid w:val="005A3013"/>
    <w:rsid w:val="005A3153"/>
    <w:rsid w:val="005A3B41"/>
    <w:rsid w:val="005A3FB9"/>
    <w:rsid w:val="005A405B"/>
    <w:rsid w:val="005A4943"/>
    <w:rsid w:val="005A52ED"/>
    <w:rsid w:val="005A6054"/>
    <w:rsid w:val="005A69C5"/>
    <w:rsid w:val="005A6E5A"/>
    <w:rsid w:val="005A726D"/>
    <w:rsid w:val="005A76B9"/>
    <w:rsid w:val="005A777B"/>
    <w:rsid w:val="005B029B"/>
    <w:rsid w:val="005B0AB4"/>
    <w:rsid w:val="005B0D2C"/>
    <w:rsid w:val="005B1A58"/>
    <w:rsid w:val="005B1B20"/>
    <w:rsid w:val="005B1CF4"/>
    <w:rsid w:val="005B2501"/>
    <w:rsid w:val="005B2A43"/>
    <w:rsid w:val="005B2C7C"/>
    <w:rsid w:val="005B345E"/>
    <w:rsid w:val="005B354A"/>
    <w:rsid w:val="005B4029"/>
    <w:rsid w:val="005B584C"/>
    <w:rsid w:val="005B5EB5"/>
    <w:rsid w:val="005C0348"/>
    <w:rsid w:val="005C1198"/>
    <w:rsid w:val="005C1544"/>
    <w:rsid w:val="005C16AA"/>
    <w:rsid w:val="005C1857"/>
    <w:rsid w:val="005C29F3"/>
    <w:rsid w:val="005C49FE"/>
    <w:rsid w:val="005C4CBF"/>
    <w:rsid w:val="005C61D7"/>
    <w:rsid w:val="005C6BAF"/>
    <w:rsid w:val="005C70D4"/>
    <w:rsid w:val="005C73CB"/>
    <w:rsid w:val="005C7BCB"/>
    <w:rsid w:val="005D02F5"/>
    <w:rsid w:val="005D0452"/>
    <w:rsid w:val="005D15BF"/>
    <w:rsid w:val="005D15F6"/>
    <w:rsid w:val="005D21D4"/>
    <w:rsid w:val="005D3805"/>
    <w:rsid w:val="005D57F0"/>
    <w:rsid w:val="005D61C0"/>
    <w:rsid w:val="005D693A"/>
    <w:rsid w:val="005D738D"/>
    <w:rsid w:val="005D750B"/>
    <w:rsid w:val="005D7793"/>
    <w:rsid w:val="005E0C57"/>
    <w:rsid w:val="005E0F2C"/>
    <w:rsid w:val="005E101A"/>
    <w:rsid w:val="005E253F"/>
    <w:rsid w:val="005E3DE5"/>
    <w:rsid w:val="005E425A"/>
    <w:rsid w:val="005E5D10"/>
    <w:rsid w:val="005E5D42"/>
    <w:rsid w:val="005E5E66"/>
    <w:rsid w:val="005E63F9"/>
    <w:rsid w:val="005E6C96"/>
    <w:rsid w:val="005E6E2F"/>
    <w:rsid w:val="005F1520"/>
    <w:rsid w:val="005F1F5F"/>
    <w:rsid w:val="005F2E4B"/>
    <w:rsid w:val="005F388A"/>
    <w:rsid w:val="005F41B9"/>
    <w:rsid w:val="005F4590"/>
    <w:rsid w:val="005F547B"/>
    <w:rsid w:val="005F6045"/>
    <w:rsid w:val="005F7127"/>
    <w:rsid w:val="006004AE"/>
    <w:rsid w:val="00601206"/>
    <w:rsid w:val="006017D9"/>
    <w:rsid w:val="006027A5"/>
    <w:rsid w:val="006043B1"/>
    <w:rsid w:val="00604EF6"/>
    <w:rsid w:val="00605681"/>
    <w:rsid w:val="006060DB"/>
    <w:rsid w:val="00606B41"/>
    <w:rsid w:val="0060798E"/>
    <w:rsid w:val="00607FE0"/>
    <w:rsid w:val="0061089A"/>
    <w:rsid w:val="00612845"/>
    <w:rsid w:val="00612B51"/>
    <w:rsid w:val="0061358C"/>
    <w:rsid w:val="0061621D"/>
    <w:rsid w:val="00616233"/>
    <w:rsid w:val="006162FA"/>
    <w:rsid w:val="00616AD8"/>
    <w:rsid w:val="00616BAA"/>
    <w:rsid w:val="00616F2B"/>
    <w:rsid w:val="00617E84"/>
    <w:rsid w:val="00620025"/>
    <w:rsid w:val="00623164"/>
    <w:rsid w:val="00623826"/>
    <w:rsid w:val="006254E5"/>
    <w:rsid w:val="00625533"/>
    <w:rsid w:val="00625832"/>
    <w:rsid w:val="00625BD4"/>
    <w:rsid w:val="006268E0"/>
    <w:rsid w:val="0062708E"/>
    <w:rsid w:val="006277F0"/>
    <w:rsid w:val="00630534"/>
    <w:rsid w:val="00630551"/>
    <w:rsid w:val="00630717"/>
    <w:rsid w:val="006317B1"/>
    <w:rsid w:val="00633957"/>
    <w:rsid w:val="00634536"/>
    <w:rsid w:val="00634DE0"/>
    <w:rsid w:val="00635DC5"/>
    <w:rsid w:val="00641D0C"/>
    <w:rsid w:val="00641F6E"/>
    <w:rsid w:val="00641F77"/>
    <w:rsid w:val="00642D2E"/>
    <w:rsid w:val="0064379A"/>
    <w:rsid w:val="00644856"/>
    <w:rsid w:val="006450E4"/>
    <w:rsid w:val="0065011E"/>
    <w:rsid w:val="00651F68"/>
    <w:rsid w:val="0065266F"/>
    <w:rsid w:val="00652847"/>
    <w:rsid w:val="00654099"/>
    <w:rsid w:val="00654BFB"/>
    <w:rsid w:val="00654EA1"/>
    <w:rsid w:val="006572C0"/>
    <w:rsid w:val="0065774E"/>
    <w:rsid w:val="00657CFC"/>
    <w:rsid w:val="00657FA0"/>
    <w:rsid w:val="006607AD"/>
    <w:rsid w:val="00660C61"/>
    <w:rsid w:val="0066134D"/>
    <w:rsid w:val="00661650"/>
    <w:rsid w:val="006623D2"/>
    <w:rsid w:val="006625D1"/>
    <w:rsid w:val="00662BD6"/>
    <w:rsid w:val="006633D7"/>
    <w:rsid w:val="006638A1"/>
    <w:rsid w:val="006640E1"/>
    <w:rsid w:val="00664762"/>
    <w:rsid w:val="00667182"/>
    <w:rsid w:val="0066733A"/>
    <w:rsid w:val="00670429"/>
    <w:rsid w:val="006711BC"/>
    <w:rsid w:val="00672111"/>
    <w:rsid w:val="00673332"/>
    <w:rsid w:val="00673878"/>
    <w:rsid w:val="006757A5"/>
    <w:rsid w:val="00676217"/>
    <w:rsid w:val="0067645D"/>
    <w:rsid w:val="00677224"/>
    <w:rsid w:val="006776E2"/>
    <w:rsid w:val="00677A65"/>
    <w:rsid w:val="00680501"/>
    <w:rsid w:val="00680B40"/>
    <w:rsid w:val="00680CB5"/>
    <w:rsid w:val="006810FC"/>
    <w:rsid w:val="00682F53"/>
    <w:rsid w:val="00684437"/>
    <w:rsid w:val="006848BA"/>
    <w:rsid w:val="00684DD2"/>
    <w:rsid w:val="00685BA5"/>
    <w:rsid w:val="0068638B"/>
    <w:rsid w:val="0068644E"/>
    <w:rsid w:val="0068650C"/>
    <w:rsid w:val="006870B5"/>
    <w:rsid w:val="0068728D"/>
    <w:rsid w:val="00687562"/>
    <w:rsid w:val="006878AB"/>
    <w:rsid w:val="00690BDE"/>
    <w:rsid w:val="00690F1E"/>
    <w:rsid w:val="00691317"/>
    <w:rsid w:val="006925DC"/>
    <w:rsid w:val="0069278A"/>
    <w:rsid w:val="0069346E"/>
    <w:rsid w:val="00693FE9"/>
    <w:rsid w:val="0069408C"/>
    <w:rsid w:val="006940EF"/>
    <w:rsid w:val="006A0085"/>
    <w:rsid w:val="006A0158"/>
    <w:rsid w:val="006A1330"/>
    <w:rsid w:val="006A1D48"/>
    <w:rsid w:val="006A1EF9"/>
    <w:rsid w:val="006A260B"/>
    <w:rsid w:val="006A29CF"/>
    <w:rsid w:val="006A33F4"/>
    <w:rsid w:val="006A3501"/>
    <w:rsid w:val="006A37C8"/>
    <w:rsid w:val="006A49A5"/>
    <w:rsid w:val="006A4A25"/>
    <w:rsid w:val="006A4D5F"/>
    <w:rsid w:val="006A5D7E"/>
    <w:rsid w:val="006A60C4"/>
    <w:rsid w:val="006A69AA"/>
    <w:rsid w:val="006A73B4"/>
    <w:rsid w:val="006A7449"/>
    <w:rsid w:val="006A77A1"/>
    <w:rsid w:val="006A7CC9"/>
    <w:rsid w:val="006A7D47"/>
    <w:rsid w:val="006A7DA6"/>
    <w:rsid w:val="006B0675"/>
    <w:rsid w:val="006B07E5"/>
    <w:rsid w:val="006B1565"/>
    <w:rsid w:val="006B2E9D"/>
    <w:rsid w:val="006B3F6A"/>
    <w:rsid w:val="006B5310"/>
    <w:rsid w:val="006B548E"/>
    <w:rsid w:val="006B76B4"/>
    <w:rsid w:val="006BE674"/>
    <w:rsid w:val="006C0A62"/>
    <w:rsid w:val="006C0A7C"/>
    <w:rsid w:val="006C197E"/>
    <w:rsid w:val="006C2531"/>
    <w:rsid w:val="006C27FC"/>
    <w:rsid w:val="006C2B3E"/>
    <w:rsid w:val="006C2DB4"/>
    <w:rsid w:val="006C3669"/>
    <w:rsid w:val="006C4825"/>
    <w:rsid w:val="006C70FA"/>
    <w:rsid w:val="006C7161"/>
    <w:rsid w:val="006D0E98"/>
    <w:rsid w:val="006D1422"/>
    <w:rsid w:val="006D26E9"/>
    <w:rsid w:val="006D2764"/>
    <w:rsid w:val="006D2ADC"/>
    <w:rsid w:val="006D40A3"/>
    <w:rsid w:val="006D40AB"/>
    <w:rsid w:val="006D49EC"/>
    <w:rsid w:val="006D6080"/>
    <w:rsid w:val="006D6E01"/>
    <w:rsid w:val="006D79B0"/>
    <w:rsid w:val="006E0224"/>
    <w:rsid w:val="006E0429"/>
    <w:rsid w:val="006E12E5"/>
    <w:rsid w:val="006E13CA"/>
    <w:rsid w:val="006E158B"/>
    <w:rsid w:val="006E1CF0"/>
    <w:rsid w:val="006E3076"/>
    <w:rsid w:val="006E5251"/>
    <w:rsid w:val="006E5570"/>
    <w:rsid w:val="006E5A26"/>
    <w:rsid w:val="006E5F6A"/>
    <w:rsid w:val="006E627A"/>
    <w:rsid w:val="006E7453"/>
    <w:rsid w:val="006E76C0"/>
    <w:rsid w:val="006F01F7"/>
    <w:rsid w:val="006F2259"/>
    <w:rsid w:val="006F3EEF"/>
    <w:rsid w:val="006F5128"/>
    <w:rsid w:val="006F538F"/>
    <w:rsid w:val="006F6C89"/>
    <w:rsid w:val="0070008F"/>
    <w:rsid w:val="00700DAD"/>
    <w:rsid w:val="00700DEE"/>
    <w:rsid w:val="00702501"/>
    <w:rsid w:val="00703757"/>
    <w:rsid w:val="00703F0A"/>
    <w:rsid w:val="0070508C"/>
    <w:rsid w:val="00705266"/>
    <w:rsid w:val="007068F9"/>
    <w:rsid w:val="0070757E"/>
    <w:rsid w:val="007078F7"/>
    <w:rsid w:val="0071044C"/>
    <w:rsid w:val="00710C2B"/>
    <w:rsid w:val="00711C39"/>
    <w:rsid w:val="007125F8"/>
    <w:rsid w:val="0071261D"/>
    <w:rsid w:val="0071278A"/>
    <w:rsid w:val="00712E27"/>
    <w:rsid w:val="00712E69"/>
    <w:rsid w:val="007131D0"/>
    <w:rsid w:val="00713854"/>
    <w:rsid w:val="0071480B"/>
    <w:rsid w:val="00714A47"/>
    <w:rsid w:val="00716161"/>
    <w:rsid w:val="00720B0C"/>
    <w:rsid w:val="00721CD6"/>
    <w:rsid w:val="00722DE2"/>
    <w:rsid w:val="00723554"/>
    <w:rsid w:val="0072373D"/>
    <w:rsid w:val="00723923"/>
    <w:rsid w:val="00724A0C"/>
    <w:rsid w:val="0072529C"/>
    <w:rsid w:val="007259AA"/>
    <w:rsid w:val="00726689"/>
    <w:rsid w:val="00726B39"/>
    <w:rsid w:val="00727389"/>
    <w:rsid w:val="00730054"/>
    <w:rsid w:val="00730603"/>
    <w:rsid w:val="00731210"/>
    <w:rsid w:val="00731D4E"/>
    <w:rsid w:val="00731F3B"/>
    <w:rsid w:val="0073318B"/>
    <w:rsid w:val="007333D4"/>
    <w:rsid w:val="007336D4"/>
    <w:rsid w:val="007351D0"/>
    <w:rsid w:val="0073661F"/>
    <w:rsid w:val="00736655"/>
    <w:rsid w:val="00737481"/>
    <w:rsid w:val="00737775"/>
    <w:rsid w:val="00740A54"/>
    <w:rsid w:val="00740C1F"/>
    <w:rsid w:val="00740C46"/>
    <w:rsid w:val="00741EB8"/>
    <w:rsid w:val="00741EF6"/>
    <w:rsid w:val="007422D7"/>
    <w:rsid w:val="00743C1A"/>
    <w:rsid w:val="00744371"/>
    <w:rsid w:val="00745BF9"/>
    <w:rsid w:val="007461C2"/>
    <w:rsid w:val="007462BF"/>
    <w:rsid w:val="00746581"/>
    <w:rsid w:val="00746EFC"/>
    <w:rsid w:val="00747147"/>
    <w:rsid w:val="00747B96"/>
    <w:rsid w:val="00751120"/>
    <w:rsid w:val="00751575"/>
    <w:rsid w:val="0075236E"/>
    <w:rsid w:val="00752BB1"/>
    <w:rsid w:val="00752D2C"/>
    <w:rsid w:val="00752F64"/>
    <w:rsid w:val="007543C3"/>
    <w:rsid w:val="00754A23"/>
    <w:rsid w:val="00755C9E"/>
    <w:rsid w:val="00755D03"/>
    <w:rsid w:val="007566D4"/>
    <w:rsid w:val="0075684A"/>
    <w:rsid w:val="00756C6A"/>
    <w:rsid w:val="00761BC1"/>
    <w:rsid w:val="007621BD"/>
    <w:rsid w:val="007625A2"/>
    <w:rsid w:val="00762AC6"/>
    <w:rsid w:val="00763589"/>
    <w:rsid w:val="00765041"/>
    <w:rsid w:val="007654C1"/>
    <w:rsid w:val="00766433"/>
    <w:rsid w:val="007666CC"/>
    <w:rsid w:val="00766C0F"/>
    <w:rsid w:val="0076706F"/>
    <w:rsid w:val="00767930"/>
    <w:rsid w:val="00770004"/>
    <w:rsid w:val="007705D5"/>
    <w:rsid w:val="00770AF0"/>
    <w:rsid w:val="007718D6"/>
    <w:rsid w:val="00771A14"/>
    <w:rsid w:val="00771BBB"/>
    <w:rsid w:val="00772920"/>
    <w:rsid w:val="0077338C"/>
    <w:rsid w:val="00773DEF"/>
    <w:rsid w:val="0077421D"/>
    <w:rsid w:val="007746B8"/>
    <w:rsid w:val="007748D1"/>
    <w:rsid w:val="00774CC8"/>
    <w:rsid w:val="00774CFE"/>
    <w:rsid w:val="00774DD2"/>
    <w:rsid w:val="00775FA5"/>
    <w:rsid w:val="007772C4"/>
    <w:rsid w:val="007800C0"/>
    <w:rsid w:val="00780494"/>
    <w:rsid w:val="00780F9F"/>
    <w:rsid w:val="00781C83"/>
    <w:rsid w:val="007825F2"/>
    <w:rsid w:val="00782B47"/>
    <w:rsid w:val="007833EB"/>
    <w:rsid w:val="00784911"/>
    <w:rsid w:val="00784C8B"/>
    <w:rsid w:val="00785FF8"/>
    <w:rsid w:val="007865A1"/>
    <w:rsid w:val="00790264"/>
    <w:rsid w:val="00793245"/>
    <w:rsid w:val="007933FD"/>
    <w:rsid w:val="0079352F"/>
    <w:rsid w:val="0079382F"/>
    <w:rsid w:val="007948FF"/>
    <w:rsid w:val="007956B7"/>
    <w:rsid w:val="00795B13"/>
    <w:rsid w:val="00795B98"/>
    <w:rsid w:val="007974F1"/>
    <w:rsid w:val="00797E4F"/>
    <w:rsid w:val="00797EDF"/>
    <w:rsid w:val="007A0541"/>
    <w:rsid w:val="007A08AE"/>
    <w:rsid w:val="007A0927"/>
    <w:rsid w:val="007A0A5B"/>
    <w:rsid w:val="007A1880"/>
    <w:rsid w:val="007A1F8D"/>
    <w:rsid w:val="007A24C4"/>
    <w:rsid w:val="007A2514"/>
    <w:rsid w:val="007A2C66"/>
    <w:rsid w:val="007A37F7"/>
    <w:rsid w:val="007A3CC5"/>
    <w:rsid w:val="007A482B"/>
    <w:rsid w:val="007A4E7C"/>
    <w:rsid w:val="007A5263"/>
    <w:rsid w:val="007A583E"/>
    <w:rsid w:val="007B0365"/>
    <w:rsid w:val="007B05EA"/>
    <w:rsid w:val="007B08A9"/>
    <w:rsid w:val="007B08BD"/>
    <w:rsid w:val="007B2F17"/>
    <w:rsid w:val="007B2FB4"/>
    <w:rsid w:val="007B3477"/>
    <w:rsid w:val="007B40BF"/>
    <w:rsid w:val="007B5434"/>
    <w:rsid w:val="007B5690"/>
    <w:rsid w:val="007B57FE"/>
    <w:rsid w:val="007B6760"/>
    <w:rsid w:val="007B6A80"/>
    <w:rsid w:val="007B6EF2"/>
    <w:rsid w:val="007B7088"/>
    <w:rsid w:val="007B77AB"/>
    <w:rsid w:val="007B7E0D"/>
    <w:rsid w:val="007C065A"/>
    <w:rsid w:val="007C0915"/>
    <w:rsid w:val="007C1DD0"/>
    <w:rsid w:val="007C22A7"/>
    <w:rsid w:val="007C23C0"/>
    <w:rsid w:val="007C3161"/>
    <w:rsid w:val="007C32E1"/>
    <w:rsid w:val="007C36AC"/>
    <w:rsid w:val="007C36E1"/>
    <w:rsid w:val="007C3936"/>
    <w:rsid w:val="007C3D2E"/>
    <w:rsid w:val="007C44EE"/>
    <w:rsid w:val="007C45C3"/>
    <w:rsid w:val="007C619E"/>
    <w:rsid w:val="007C621F"/>
    <w:rsid w:val="007C64D1"/>
    <w:rsid w:val="007C74BE"/>
    <w:rsid w:val="007C7D17"/>
    <w:rsid w:val="007D0726"/>
    <w:rsid w:val="007D07F8"/>
    <w:rsid w:val="007D1077"/>
    <w:rsid w:val="007D11DC"/>
    <w:rsid w:val="007D1AFC"/>
    <w:rsid w:val="007D1D58"/>
    <w:rsid w:val="007D1E3F"/>
    <w:rsid w:val="007D280D"/>
    <w:rsid w:val="007D3464"/>
    <w:rsid w:val="007D3512"/>
    <w:rsid w:val="007D42C4"/>
    <w:rsid w:val="007D572D"/>
    <w:rsid w:val="007D70E6"/>
    <w:rsid w:val="007E1C9A"/>
    <w:rsid w:val="007E30AE"/>
    <w:rsid w:val="007E36DC"/>
    <w:rsid w:val="007E455F"/>
    <w:rsid w:val="007E4CAC"/>
    <w:rsid w:val="007E5F6E"/>
    <w:rsid w:val="007E6310"/>
    <w:rsid w:val="007E75B3"/>
    <w:rsid w:val="007E7FA1"/>
    <w:rsid w:val="007F0580"/>
    <w:rsid w:val="007F0B0A"/>
    <w:rsid w:val="007F0E8A"/>
    <w:rsid w:val="007F1A4D"/>
    <w:rsid w:val="007F1A57"/>
    <w:rsid w:val="007F21F5"/>
    <w:rsid w:val="007F2968"/>
    <w:rsid w:val="007F34D6"/>
    <w:rsid w:val="007F376D"/>
    <w:rsid w:val="007F3BCB"/>
    <w:rsid w:val="007F40C2"/>
    <w:rsid w:val="007F4865"/>
    <w:rsid w:val="007F55FB"/>
    <w:rsid w:val="007F7035"/>
    <w:rsid w:val="007F7D7D"/>
    <w:rsid w:val="008005FF"/>
    <w:rsid w:val="008007AA"/>
    <w:rsid w:val="00803625"/>
    <w:rsid w:val="00803BD5"/>
    <w:rsid w:val="00805FD7"/>
    <w:rsid w:val="00807537"/>
    <w:rsid w:val="00810420"/>
    <w:rsid w:val="008104C3"/>
    <w:rsid w:val="0081090D"/>
    <w:rsid w:val="0081116C"/>
    <w:rsid w:val="00811A99"/>
    <w:rsid w:val="00811D74"/>
    <w:rsid w:val="008120F1"/>
    <w:rsid w:val="0081212A"/>
    <w:rsid w:val="00812457"/>
    <w:rsid w:val="0081245A"/>
    <w:rsid w:val="00812BDF"/>
    <w:rsid w:val="00812FFE"/>
    <w:rsid w:val="00813B42"/>
    <w:rsid w:val="0081452A"/>
    <w:rsid w:val="00815DF5"/>
    <w:rsid w:val="00815F06"/>
    <w:rsid w:val="00816F07"/>
    <w:rsid w:val="008213DC"/>
    <w:rsid w:val="008222D2"/>
    <w:rsid w:val="00822A33"/>
    <w:rsid w:val="00822C09"/>
    <w:rsid w:val="00822C9D"/>
    <w:rsid w:val="00822CA8"/>
    <w:rsid w:val="008233E1"/>
    <w:rsid w:val="0082384B"/>
    <w:rsid w:val="00824102"/>
    <w:rsid w:val="008256FC"/>
    <w:rsid w:val="00826756"/>
    <w:rsid w:val="00827F6D"/>
    <w:rsid w:val="00830F86"/>
    <w:rsid w:val="0083116E"/>
    <w:rsid w:val="00831BFA"/>
    <w:rsid w:val="00832661"/>
    <w:rsid w:val="008326E4"/>
    <w:rsid w:val="00832FBE"/>
    <w:rsid w:val="00833EBC"/>
    <w:rsid w:val="00834089"/>
    <w:rsid w:val="008349FC"/>
    <w:rsid w:val="00834F28"/>
    <w:rsid w:val="008358CA"/>
    <w:rsid w:val="00836BBC"/>
    <w:rsid w:val="008375FF"/>
    <w:rsid w:val="00837736"/>
    <w:rsid w:val="0084015A"/>
    <w:rsid w:val="00841F9D"/>
    <w:rsid w:val="00842085"/>
    <w:rsid w:val="00842340"/>
    <w:rsid w:val="00842ACB"/>
    <w:rsid w:val="00842F5A"/>
    <w:rsid w:val="00842F8A"/>
    <w:rsid w:val="008433E0"/>
    <w:rsid w:val="0084400D"/>
    <w:rsid w:val="00844CC6"/>
    <w:rsid w:val="008459FE"/>
    <w:rsid w:val="008466AE"/>
    <w:rsid w:val="00846CB7"/>
    <w:rsid w:val="0085085B"/>
    <w:rsid w:val="00851582"/>
    <w:rsid w:val="0085419F"/>
    <w:rsid w:val="00854C9D"/>
    <w:rsid w:val="00855874"/>
    <w:rsid w:val="00855BD2"/>
    <w:rsid w:val="00856D25"/>
    <w:rsid w:val="00856FBB"/>
    <w:rsid w:val="00857862"/>
    <w:rsid w:val="00860487"/>
    <w:rsid w:val="0086132A"/>
    <w:rsid w:val="0086198D"/>
    <w:rsid w:val="008629B9"/>
    <w:rsid w:val="00863242"/>
    <w:rsid w:val="00863CE2"/>
    <w:rsid w:val="00865C3B"/>
    <w:rsid w:val="00865CB0"/>
    <w:rsid w:val="00866538"/>
    <w:rsid w:val="00867536"/>
    <w:rsid w:val="00867822"/>
    <w:rsid w:val="00867DFC"/>
    <w:rsid w:val="00870031"/>
    <w:rsid w:val="008704CB"/>
    <w:rsid w:val="00870B82"/>
    <w:rsid w:val="00870E9F"/>
    <w:rsid w:val="00871DDE"/>
    <w:rsid w:val="00872096"/>
    <w:rsid w:val="00874283"/>
    <w:rsid w:val="008744CE"/>
    <w:rsid w:val="00874565"/>
    <w:rsid w:val="0087456A"/>
    <w:rsid w:val="00876B13"/>
    <w:rsid w:val="0088025E"/>
    <w:rsid w:val="00880903"/>
    <w:rsid w:val="00880AE3"/>
    <w:rsid w:val="00881771"/>
    <w:rsid w:val="00881F50"/>
    <w:rsid w:val="00882182"/>
    <w:rsid w:val="00882B01"/>
    <w:rsid w:val="00882DC6"/>
    <w:rsid w:val="00883A8C"/>
    <w:rsid w:val="0088442F"/>
    <w:rsid w:val="00884C92"/>
    <w:rsid w:val="00885970"/>
    <w:rsid w:val="00887C98"/>
    <w:rsid w:val="00891712"/>
    <w:rsid w:val="008926FD"/>
    <w:rsid w:val="00892771"/>
    <w:rsid w:val="00893448"/>
    <w:rsid w:val="00894C3D"/>
    <w:rsid w:val="00895347"/>
    <w:rsid w:val="00896B40"/>
    <w:rsid w:val="0089738F"/>
    <w:rsid w:val="00897763"/>
    <w:rsid w:val="00897D46"/>
    <w:rsid w:val="008A1395"/>
    <w:rsid w:val="008A1E97"/>
    <w:rsid w:val="008A22E3"/>
    <w:rsid w:val="008A35EA"/>
    <w:rsid w:val="008A3806"/>
    <w:rsid w:val="008A384F"/>
    <w:rsid w:val="008A3E83"/>
    <w:rsid w:val="008A5B4A"/>
    <w:rsid w:val="008A5E7E"/>
    <w:rsid w:val="008A79BA"/>
    <w:rsid w:val="008A7A07"/>
    <w:rsid w:val="008A7A33"/>
    <w:rsid w:val="008B1947"/>
    <w:rsid w:val="008B19A8"/>
    <w:rsid w:val="008B3544"/>
    <w:rsid w:val="008B5D11"/>
    <w:rsid w:val="008B65B4"/>
    <w:rsid w:val="008B735D"/>
    <w:rsid w:val="008B7417"/>
    <w:rsid w:val="008C0129"/>
    <w:rsid w:val="008C0672"/>
    <w:rsid w:val="008C06A8"/>
    <w:rsid w:val="008C0972"/>
    <w:rsid w:val="008C0B9B"/>
    <w:rsid w:val="008C1776"/>
    <w:rsid w:val="008C293F"/>
    <w:rsid w:val="008C2AA3"/>
    <w:rsid w:val="008C3766"/>
    <w:rsid w:val="008C4936"/>
    <w:rsid w:val="008C4E63"/>
    <w:rsid w:val="008C507F"/>
    <w:rsid w:val="008C557D"/>
    <w:rsid w:val="008C5895"/>
    <w:rsid w:val="008C5BB7"/>
    <w:rsid w:val="008C6150"/>
    <w:rsid w:val="008C6BAE"/>
    <w:rsid w:val="008C73CD"/>
    <w:rsid w:val="008C7D4D"/>
    <w:rsid w:val="008D1E0A"/>
    <w:rsid w:val="008D23AE"/>
    <w:rsid w:val="008D2512"/>
    <w:rsid w:val="008D2935"/>
    <w:rsid w:val="008D2B84"/>
    <w:rsid w:val="008D36F9"/>
    <w:rsid w:val="008D4088"/>
    <w:rsid w:val="008D40EB"/>
    <w:rsid w:val="008D4151"/>
    <w:rsid w:val="008D4517"/>
    <w:rsid w:val="008D4619"/>
    <w:rsid w:val="008D4BF7"/>
    <w:rsid w:val="008D5486"/>
    <w:rsid w:val="008D6426"/>
    <w:rsid w:val="008D6878"/>
    <w:rsid w:val="008D6ACB"/>
    <w:rsid w:val="008D6FC6"/>
    <w:rsid w:val="008E0126"/>
    <w:rsid w:val="008E3927"/>
    <w:rsid w:val="008E43CC"/>
    <w:rsid w:val="008E53DC"/>
    <w:rsid w:val="008E5AB2"/>
    <w:rsid w:val="008E5EFB"/>
    <w:rsid w:val="008E70E5"/>
    <w:rsid w:val="008E75A4"/>
    <w:rsid w:val="008E787F"/>
    <w:rsid w:val="008F0E6F"/>
    <w:rsid w:val="008F1604"/>
    <w:rsid w:val="008F1A82"/>
    <w:rsid w:val="008F1C20"/>
    <w:rsid w:val="008F1C7A"/>
    <w:rsid w:val="008F236C"/>
    <w:rsid w:val="008F267D"/>
    <w:rsid w:val="008F2D56"/>
    <w:rsid w:val="008F55AB"/>
    <w:rsid w:val="008F60B0"/>
    <w:rsid w:val="008F6311"/>
    <w:rsid w:val="008F6456"/>
    <w:rsid w:val="008F6A74"/>
    <w:rsid w:val="008F6D82"/>
    <w:rsid w:val="008F7F8E"/>
    <w:rsid w:val="009002EB"/>
    <w:rsid w:val="00900521"/>
    <w:rsid w:val="00900693"/>
    <w:rsid w:val="009008CD"/>
    <w:rsid w:val="009009A0"/>
    <w:rsid w:val="00900CC1"/>
    <w:rsid w:val="00900E90"/>
    <w:rsid w:val="009039C3"/>
    <w:rsid w:val="00904471"/>
    <w:rsid w:val="0090549F"/>
    <w:rsid w:val="0090596E"/>
    <w:rsid w:val="00905B7F"/>
    <w:rsid w:val="0090649D"/>
    <w:rsid w:val="00907259"/>
    <w:rsid w:val="009073EC"/>
    <w:rsid w:val="00907B51"/>
    <w:rsid w:val="00907CD5"/>
    <w:rsid w:val="00907CFC"/>
    <w:rsid w:val="009104E3"/>
    <w:rsid w:val="0091147A"/>
    <w:rsid w:val="00912114"/>
    <w:rsid w:val="009134BB"/>
    <w:rsid w:val="00913678"/>
    <w:rsid w:val="00913F95"/>
    <w:rsid w:val="00914004"/>
    <w:rsid w:val="00914CE1"/>
    <w:rsid w:val="0091786F"/>
    <w:rsid w:val="00920A22"/>
    <w:rsid w:val="00920A56"/>
    <w:rsid w:val="00922072"/>
    <w:rsid w:val="00922357"/>
    <w:rsid w:val="009246B3"/>
    <w:rsid w:val="00924CBE"/>
    <w:rsid w:val="00927880"/>
    <w:rsid w:val="00930EB8"/>
    <w:rsid w:val="00931012"/>
    <w:rsid w:val="00931786"/>
    <w:rsid w:val="00931B9C"/>
    <w:rsid w:val="00931DE1"/>
    <w:rsid w:val="009326BB"/>
    <w:rsid w:val="00932E1A"/>
    <w:rsid w:val="009338AD"/>
    <w:rsid w:val="00934239"/>
    <w:rsid w:val="009351A4"/>
    <w:rsid w:val="0094083A"/>
    <w:rsid w:val="00941323"/>
    <w:rsid w:val="009419D4"/>
    <w:rsid w:val="00941D97"/>
    <w:rsid w:val="00942987"/>
    <w:rsid w:val="00943B15"/>
    <w:rsid w:val="0094473C"/>
    <w:rsid w:val="00944EB7"/>
    <w:rsid w:val="00944F26"/>
    <w:rsid w:val="00945C29"/>
    <w:rsid w:val="00946280"/>
    <w:rsid w:val="009500DB"/>
    <w:rsid w:val="0095218F"/>
    <w:rsid w:val="0095313C"/>
    <w:rsid w:val="0095473A"/>
    <w:rsid w:val="0095485B"/>
    <w:rsid w:val="00955975"/>
    <w:rsid w:val="00960B7F"/>
    <w:rsid w:val="00960F71"/>
    <w:rsid w:val="0096205D"/>
    <w:rsid w:val="00963F68"/>
    <w:rsid w:val="0096437B"/>
    <w:rsid w:val="00964B9C"/>
    <w:rsid w:val="00965E63"/>
    <w:rsid w:val="00965EFD"/>
    <w:rsid w:val="009664D1"/>
    <w:rsid w:val="00966A35"/>
    <w:rsid w:val="009673CC"/>
    <w:rsid w:val="0097007D"/>
    <w:rsid w:val="009702F0"/>
    <w:rsid w:val="00970654"/>
    <w:rsid w:val="00970B17"/>
    <w:rsid w:val="00972FF6"/>
    <w:rsid w:val="00973621"/>
    <w:rsid w:val="009736D3"/>
    <w:rsid w:val="00973B7D"/>
    <w:rsid w:val="0097434B"/>
    <w:rsid w:val="0097465C"/>
    <w:rsid w:val="009746E8"/>
    <w:rsid w:val="00974F34"/>
    <w:rsid w:val="0097562B"/>
    <w:rsid w:val="00975E37"/>
    <w:rsid w:val="0097630B"/>
    <w:rsid w:val="0097664F"/>
    <w:rsid w:val="00980655"/>
    <w:rsid w:val="00981401"/>
    <w:rsid w:val="0098172C"/>
    <w:rsid w:val="009829CE"/>
    <w:rsid w:val="00983DF7"/>
    <w:rsid w:val="00984F74"/>
    <w:rsid w:val="00985831"/>
    <w:rsid w:val="00985994"/>
    <w:rsid w:val="009877C4"/>
    <w:rsid w:val="00987ECA"/>
    <w:rsid w:val="00990BEE"/>
    <w:rsid w:val="00992336"/>
    <w:rsid w:val="009930A6"/>
    <w:rsid w:val="00993FD1"/>
    <w:rsid w:val="00994209"/>
    <w:rsid w:val="009943A6"/>
    <w:rsid w:val="00994FCB"/>
    <w:rsid w:val="009958A3"/>
    <w:rsid w:val="009968F8"/>
    <w:rsid w:val="00997709"/>
    <w:rsid w:val="00997A53"/>
    <w:rsid w:val="009A067C"/>
    <w:rsid w:val="009A13B9"/>
    <w:rsid w:val="009A15B5"/>
    <w:rsid w:val="009A1D34"/>
    <w:rsid w:val="009A2675"/>
    <w:rsid w:val="009A397E"/>
    <w:rsid w:val="009A3AE4"/>
    <w:rsid w:val="009A40AC"/>
    <w:rsid w:val="009A5D46"/>
    <w:rsid w:val="009A6338"/>
    <w:rsid w:val="009A6766"/>
    <w:rsid w:val="009A7B9D"/>
    <w:rsid w:val="009A7DC2"/>
    <w:rsid w:val="009B0D54"/>
    <w:rsid w:val="009B11E9"/>
    <w:rsid w:val="009B2613"/>
    <w:rsid w:val="009B2F04"/>
    <w:rsid w:val="009B30B2"/>
    <w:rsid w:val="009B3FA1"/>
    <w:rsid w:val="009B54B7"/>
    <w:rsid w:val="009C0039"/>
    <w:rsid w:val="009C07D7"/>
    <w:rsid w:val="009C0A14"/>
    <w:rsid w:val="009C1B97"/>
    <w:rsid w:val="009C3711"/>
    <w:rsid w:val="009C4525"/>
    <w:rsid w:val="009C5299"/>
    <w:rsid w:val="009C5435"/>
    <w:rsid w:val="009C559E"/>
    <w:rsid w:val="009C5ECB"/>
    <w:rsid w:val="009C6F4D"/>
    <w:rsid w:val="009D117C"/>
    <w:rsid w:val="009D1DA7"/>
    <w:rsid w:val="009D1E86"/>
    <w:rsid w:val="009D2575"/>
    <w:rsid w:val="009D34DC"/>
    <w:rsid w:val="009D4743"/>
    <w:rsid w:val="009D6135"/>
    <w:rsid w:val="009D7462"/>
    <w:rsid w:val="009D7885"/>
    <w:rsid w:val="009E0727"/>
    <w:rsid w:val="009E075F"/>
    <w:rsid w:val="009E3757"/>
    <w:rsid w:val="009E382D"/>
    <w:rsid w:val="009E44BB"/>
    <w:rsid w:val="009E5623"/>
    <w:rsid w:val="009E5B8F"/>
    <w:rsid w:val="009E6316"/>
    <w:rsid w:val="009E6677"/>
    <w:rsid w:val="009E6DA6"/>
    <w:rsid w:val="009E720E"/>
    <w:rsid w:val="009E72BC"/>
    <w:rsid w:val="009E7B1F"/>
    <w:rsid w:val="009F0FCF"/>
    <w:rsid w:val="009F1926"/>
    <w:rsid w:val="009F3567"/>
    <w:rsid w:val="009F3671"/>
    <w:rsid w:val="009F3ED7"/>
    <w:rsid w:val="009F3FEB"/>
    <w:rsid w:val="009F4102"/>
    <w:rsid w:val="009F4499"/>
    <w:rsid w:val="009F4FBC"/>
    <w:rsid w:val="009F5CEC"/>
    <w:rsid w:val="009F642B"/>
    <w:rsid w:val="009F6C60"/>
    <w:rsid w:val="009F70B6"/>
    <w:rsid w:val="009F7B51"/>
    <w:rsid w:val="00A00335"/>
    <w:rsid w:val="00A02A87"/>
    <w:rsid w:val="00A03FD0"/>
    <w:rsid w:val="00A041D7"/>
    <w:rsid w:val="00A04515"/>
    <w:rsid w:val="00A056FF"/>
    <w:rsid w:val="00A062EB"/>
    <w:rsid w:val="00A075A8"/>
    <w:rsid w:val="00A07753"/>
    <w:rsid w:val="00A07ABA"/>
    <w:rsid w:val="00A103B5"/>
    <w:rsid w:val="00A10B41"/>
    <w:rsid w:val="00A10D83"/>
    <w:rsid w:val="00A11E0A"/>
    <w:rsid w:val="00A11E21"/>
    <w:rsid w:val="00A12EDD"/>
    <w:rsid w:val="00A131B5"/>
    <w:rsid w:val="00A14CD5"/>
    <w:rsid w:val="00A15220"/>
    <w:rsid w:val="00A15802"/>
    <w:rsid w:val="00A15FCE"/>
    <w:rsid w:val="00A160FB"/>
    <w:rsid w:val="00A203A1"/>
    <w:rsid w:val="00A21622"/>
    <w:rsid w:val="00A22278"/>
    <w:rsid w:val="00A22BB4"/>
    <w:rsid w:val="00A22FDC"/>
    <w:rsid w:val="00A23777"/>
    <w:rsid w:val="00A244AD"/>
    <w:rsid w:val="00A246DE"/>
    <w:rsid w:val="00A24C1C"/>
    <w:rsid w:val="00A24F1B"/>
    <w:rsid w:val="00A25D97"/>
    <w:rsid w:val="00A2612B"/>
    <w:rsid w:val="00A2661E"/>
    <w:rsid w:val="00A2730F"/>
    <w:rsid w:val="00A27603"/>
    <w:rsid w:val="00A30E4A"/>
    <w:rsid w:val="00A31AB4"/>
    <w:rsid w:val="00A31FDF"/>
    <w:rsid w:val="00A32C49"/>
    <w:rsid w:val="00A336A0"/>
    <w:rsid w:val="00A33A2F"/>
    <w:rsid w:val="00A33D63"/>
    <w:rsid w:val="00A35468"/>
    <w:rsid w:val="00A35674"/>
    <w:rsid w:val="00A360C6"/>
    <w:rsid w:val="00A37150"/>
    <w:rsid w:val="00A372A8"/>
    <w:rsid w:val="00A37526"/>
    <w:rsid w:val="00A41F01"/>
    <w:rsid w:val="00A44153"/>
    <w:rsid w:val="00A44DD2"/>
    <w:rsid w:val="00A45139"/>
    <w:rsid w:val="00A4643A"/>
    <w:rsid w:val="00A50021"/>
    <w:rsid w:val="00A50C5F"/>
    <w:rsid w:val="00A51B09"/>
    <w:rsid w:val="00A5407B"/>
    <w:rsid w:val="00A541AD"/>
    <w:rsid w:val="00A55946"/>
    <w:rsid w:val="00A55DA3"/>
    <w:rsid w:val="00A56318"/>
    <w:rsid w:val="00A56F09"/>
    <w:rsid w:val="00A572C8"/>
    <w:rsid w:val="00A575EC"/>
    <w:rsid w:val="00A609EA"/>
    <w:rsid w:val="00A61494"/>
    <w:rsid w:val="00A61AD0"/>
    <w:rsid w:val="00A62AF6"/>
    <w:rsid w:val="00A6377E"/>
    <w:rsid w:val="00A65639"/>
    <w:rsid w:val="00A6635C"/>
    <w:rsid w:val="00A701B6"/>
    <w:rsid w:val="00A703E5"/>
    <w:rsid w:val="00A72302"/>
    <w:rsid w:val="00A72CBD"/>
    <w:rsid w:val="00A73827"/>
    <w:rsid w:val="00A74771"/>
    <w:rsid w:val="00A74DD5"/>
    <w:rsid w:val="00A75CF7"/>
    <w:rsid w:val="00A77608"/>
    <w:rsid w:val="00A77716"/>
    <w:rsid w:val="00A80996"/>
    <w:rsid w:val="00A80B81"/>
    <w:rsid w:val="00A81D85"/>
    <w:rsid w:val="00A8362F"/>
    <w:rsid w:val="00A836B6"/>
    <w:rsid w:val="00A83DF6"/>
    <w:rsid w:val="00A84300"/>
    <w:rsid w:val="00A8454C"/>
    <w:rsid w:val="00A85009"/>
    <w:rsid w:val="00A852E2"/>
    <w:rsid w:val="00A86203"/>
    <w:rsid w:val="00A8673B"/>
    <w:rsid w:val="00A86C04"/>
    <w:rsid w:val="00A91012"/>
    <w:rsid w:val="00A9252A"/>
    <w:rsid w:val="00A92AEA"/>
    <w:rsid w:val="00A92F8A"/>
    <w:rsid w:val="00A93238"/>
    <w:rsid w:val="00A93C97"/>
    <w:rsid w:val="00A93D59"/>
    <w:rsid w:val="00A93DE2"/>
    <w:rsid w:val="00A93F24"/>
    <w:rsid w:val="00A94068"/>
    <w:rsid w:val="00A959EE"/>
    <w:rsid w:val="00A96268"/>
    <w:rsid w:val="00A96593"/>
    <w:rsid w:val="00A965D0"/>
    <w:rsid w:val="00A97554"/>
    <w:rsid w:val="00A97A88"/>
    <w:rsid w:val="00A97C97"/>
    <w:rsid w:val="00AA0395"/>
    <w:rsid w:val="00AA0D39"/>
    <w:rsid w:val="00AA205B"/>
    <w:rsid w:val="00AA226B"/>
    <w:rsid w:val="00AA3DBD"/>
    <w:rsid w:val="00AA4294"/>
    <w:rsid w:val="00AA62AB"/>
    <w:rsid w:val="00AA6902"/>
    <w:rsid w:val="00AA6E28"/>
    <w:rsid w:val="00AA7986"/>
    <w:rsid w:val="00AA79FA"/>
    <w:rsid w:val="00AB05B6"/>
    <w:rsid w:val="00AB0783"/>
    <w:rsid w:val="00AB1131"/>
    <w:rsid w:val="00AB15A7"/>
    <w:rsid w:val="00AB1954"/>
    <w:rsid w:val="00AB211F"/>
    <w:rsid w:val="00AB23C6"/>
    <w:rsid w:val="00AB2EC4"/>
    <w:rsid w:val="00AB43BA"/>
    <w:rsid w:val="00AB453A"/>
    <w:rsid w:val="00AB472B"/>
    <w:rsid w:val="00AB59F8"/>
    <w:rsid w:val="00AB686A"/>
    <w:rsid w:val="00AB7489"/>
    <w:rsid w:val="00AC183E"/>
    <w:rsid w:val="00AC1E13"/>
    <w:rsid w:val="00AC447B"/>
    <w:rsid w:val="00AC4F27"/>
    <w:rsid w:val="00AC7DAE"/>
    <w:rsid w:val="00AD1029"/>
    <w:rsid w:val="00AD45DB"/>
    <w:rsid w:val="00AD5322"/>
    <w:rsid w:val="00AD53BE"/>
    <w:rsid w:val="00AD53DD"/>
    <w:rsid w:val="00AD5B3A"/>
    <w:rsid w:val="00AD5CC0"/>
    <w:rsid w:val="00AD646D"/>
    <w:rsid w:val="00AD7303"/>
    <w:rsid w:val="00AD77BC"/>
    <w:rsid w:val="00AD7A94"/>
    <w:rsid w:val="00AE0DDA"/>
    <w:rsid w:val="00AE0ECF"/>
    <w:rsid w:val="00AE1271"/>
    <w:rsid w:val="00AE40DF"/>
    <w:rsid w:val="00AE4FC2"/>
    <w:rsid w:val="00AE5A14"/>
    <w:rsid w:val="00AE5A4C"/>
    <w:rsid w:val="00AE6038"/>
    <w:rsid w:val="00AE741F"/>
    <w:rsid w:val="00AE7AE4"/>
    <w:rsid w:val="00AF0327"/>
    <w:rsid w:val="00AF23F0"/>
    <w:rsid w:val="00AF2884"/>
    <w:rsid w:val="00AF2AAC"/>
    <w:rsid w:val="00AF45D1"/>
    <w:rsid w:val="00AF4639"/>
    <w:rsid w:val="00AF5CE0"/>
    <w:rsid w:val="00AF6792"/>
    <w:rsid w:val="00AF7699"/>
    <w:rsid w:val="00B0012A"/>
    <w:rsid w:val="00B00E9D"/>
    <w:rsid w:val="00B037ED"/>
    <w:rsid w:val="00B03A8A"/>
    <w:rsid w:val="00B0412A"/>
    <w:rsid w:val="00B044B1"/>
    <w:rsid w:val="00B04596"/>
    <w:rsid w:val="00B04A18"/>
    <w:rsid w:val="00B056F8"/>
    <w:rsid w:val="00B06C59"/>
    <w:rsid w:val="00B109FA"/>
    <w:rsid w:val="00B11EAE"/>
    <w:rsid w:val="00B12145"/>
    <w:rsid w:val="00B12634"/>
    <w:rsid w:val="00B126B9"/>
    <w:rsid w:val="00B12B86"/>
    <w:rsid w:val="00B1374E"/>
    <w:rsid w:val="00B13FA1"/>
    <w:rsid w:val="00B14E8A"/>
    <w:rsid w:val="00B1534C"/>
    <w:rsid w:val="00B1550A"/>
    <w:rsid w:val="00B161E6"/>
    <w:rsid w:val="00B16ECC"/>
    <w:rsid w:val="00B203C4"/>
    <w:rsid w:val="00B213DE"/>
    <w:rsid w:val="00B21872"/>
    <w:rsid w:val="00B2205D"/>
    <w:rsid w:val="00B23156"/>
    <w:rsid w:val="00B23697"/>
    <w:rsid w:val="00B24C86"/>
    <w:rsid w:val="00B2648E"/>
    <w:rsid w:val="00B26D73"/>
    <w:rsid w:val="00B26F4D"/>
    <w:rsid w:val="00B3031C"/>
    <w:rsid w:val="00B30CEB"/>
    <w:rsid w:val="00B31245"/>
    <w:rsid w:val="00B3129C"/>
    <w:rsid w:val="00B312D5"/>
    <w:rsid w:val="00B31F63"/>
    <w:rsid w:val="00B32331"/>
    <w:rsid w:val="00B32C1A"/>
    <w:rsid w:val="00B33703"/>
    <w:rsid w:val="00B347BE"/>
    <w:rsid w:val="00B347D5"/>
    <w:rsid w:val="00B3480C"/>
    <w:rsid w:val="00B35B1B"/>
    <w:rsid w:val="00B35EBF"/>
    <w:rsid w:val="00B3600D"/>
    <w:rsid w:val="00B36497"/>
    <w:rsid w:val="00B37485"/>
    <w:rsid w:val="00B377D8"/>
    <w:rsid w:val="00B4030F"/>
    <w:rsid w:val="00B41630"/>
    <w:rsid w:val="00B4315B"/>
    <w:rsid w:val="00B43C64"/>
    <w:rsid w:val="00B44B46"/>
    <w:rsid w:val="00B44B8A"/>
    <w:rsid w:val="00B46145"/>
    <w:rsid w:val="00B466E7"/>
    <w:rsid w:val="00B4682B"/>
    <w:rsid w:val="00B47020"/>
    <w:rsid w:val="00B4704C"/>
    <w:rsid w:val="00B47D8A"/>
    <w:rsid w:val="00B50999"/>
    <w:rsid w:val="00B50F3B"/>
    <w:rsid w:val="00B50F3E"/>
    <w:rsid w:val="00B51AAF"/>
    <w:rsid w:val="00B52336"/>
    <w:rsid w:val="00B52EBD"/>
    <w:rsid w:val="00B5418F"/>
    <w:rsid w:val="00B545A8"/>
    <w:rsid w:val="00B55530"/>
    <w:rsid w:val="00B5597E"/>
    <w:rsid w:val="00B55AF8"/>
    <w:rsid w:val="00B5630C"/>
    <w:rsid w:val="00B57486"/>
    <w:rsid w:val="00B60136"/>
    <w:rsid w:val="00B60E50"/>
    <w:rsid w:val="00B61E0B"/>
    <w:rsid w:val="00B62207"/>
    <w:rsid w:val="00B632C8"/>
    <w:rsid w:val="00B63C3F"/>
    <w:rsid w:val="00B640B5"/>
    <w:rsid w:val="00B6519A"/>
    <w:rsid w:val="00B666CA"/>
    <w:rsid w:val="00B67095"/>
    <w:rsid w:val="00B67ED1"/>
    <w:rsid w:val="00B705A5"/>
    <w:rsid w:val="00B705D3"/>
    <w:rsid w:val="00B71C16"/>
    <w:rsid w:val="00B72A86"/>
    <w:rsid w:val="00B72ABE"/>
    <w:rsid w:val="00B72B0D"/>
    <w:rsid w:val="00B734BA"/>
    <w:rsid w:val="00B73B87"/>
    <w:rsid w:val="00B74521"/>
    <w:rsid w:val="00B754B8"/>
    <w:rsid w:val="00B7573B"/>
    <w:rsid w:val="00B76879"/>
    <w:rsid w:val="00B77B04"/>
    <w:rsid w:val="00B807F9"/>
    <w:rsid w:val="00B80BB2"/>
    <w:rsid w:val="00B812B8"/>
    <w:rsid w:val="00B814D2"/>
    <w:rsid w:val="00B828B1"/>
    <w:rsid w:val="00B83775"/>
    <w:rsid w:val="00B837F2"/>
    <w:rsid w:val="00B8476A"/>
    <w:rsid w:val="00B8483E"/>
    <w:rsid w:val="00B85419"/>
    <w:rsid w:val="00B85786"/>
    <w:rsid w:val="00B85AA4"/>
    <w:rsid w:val="00B867C8"/>
    <w:rsid w:val="00B874B4"/>
    <w:rsid w:val="00B874F1"/>
    <w:rsid w:val="00B90919"/>
    <w:rsid w:val="00B91685"/>
    <w:rsid w:val="00B91CC3"/>
    <w:rsid w:val="00B92621"/>
    <w:rsid w:val="00B93629"/>
    <w:rsid w:val="00B9422E"/>
    <w:rsid w:val="00B949B6"/>
    <w:rsid w:val="00B94C2D"/>
    <w:rsid w:val="00B950F9"/>
    <w:rsid w:val="00B958C8"/>
    <w:rsid w:val="00B95DA5"/>
    <w:rsid w:val="00B96955"/>
    <w:rsid w:val="00B9E8FE"/>
    <w:rsid w:val="00BA0927"/>
    <w:rsid w:val="00BA1900"/>
    <w:rsid w:val="00BA1C0D"/>
    <w:rsid w:val="00BA32E8"/>
    <w:rsid w:val="00BA459F"/>
    <w:rsid w:val="00BA4FDB"/>
    <w:rsid w:val="00BA51B9"/>
    <w:rsid w:val="00BA5E6E"/>
    <w:rsid w:val="00BA5E84"/>
    <w:rsid w:val="00BA6148"/>
    <w:rsid w:val="00BA625B"/>
    <w:rsid w:val="00BA687D"/>
    <w:rsid w:val="00BB1587"/>
    <w:rsid w:val="00BB2990"/>
    <w:rsid w:val="00BB2BF6"/>
    <w:rsid w:val="00BB36DB"/>
    <w:rsid w:val="00BB39B5"/>
    <w:rsid w:val="00BB47B6"/>
    <w:rsid w:val="00BB5B75"/>
    <w:rsid w:val="00BB5E72"/>
    <w:rsid w:val="00BB608E"/>
    <w:rsid w:val="00BB67B8"/>
    <w:rsid w:val="00BB73CD"/>
    <w:rsid w:val="00BB76CC"/>
    <w:rsid w:val="00BC0429"/>
    <w:rsid w:val="00BC2C57"/>
    <w:rsid w:val="00BC3FF2"/>
    <w:rsid w:val="00BC4714"/>
    <w:rsid w:val="00BC4A64"/>
    <w:rsid w:val="00BC4BE2"/>
    <w:rsid w:val="00BC6EE6"/>
    <w:rsid w:val="00BC76F4"/>
    <w:rsid w:val="00BC7B04"/>
    <w:rsid w:val="00BD0EF3"/>
    <w:rsid w:val="00BD1E4A"/>
    <w:rsid w:val="00BD1E88"/>
    <w:rsid w:val="00BD2F7D"/>
    <w:rsid w:val="00BD4134"/>
    <w:rsid w:val="00BD5200"/>
    <w:rsid w:val="00BD54FB"/>
    <w:rsid w:val="00BD5666"/>
    <w:rsid w:val="00BD5886"/>
    <w:rsid w:val="00BD5AB8"/>
    <w:rsid w:val="00BD6242"/>
    <w:rsid w:val="00BD738D"/>
    <w:rsid w:val="00BD7472"/>
    <w:rsid w:val="00BD7CF9"/>
    <w:rsid w:val="00BD82D9"/>
    <w:rsid w:val="00BE044F"/>
    <w:rsid w:val="00BE08EC"/>
    <w:rsid w:val="00BE09B1"/>
    <w:rsid w:val="00BE0FE2"/>
    <w:rsid w:val="00BE15F4"/>
    <w:rsid w:val="00BE1630"/>
    <w:rsid w:val="00BE2391"/>
    <w:rsid w:val="00BE2686"/>
    <w:rsid w:val="00BE2A17"/>
    <w:rsid w:val="00BE30BC"/>
    <w:rsid w:val="00BE56A7"/>
    <w:rsid w:val="00BE667C"/>
    <w:rsid w:val="00BE6974"/>
    <w:rsid w:val="00BE6D77"/>
    <w:rsid w:val="00BE6F9A"/>
    <w:rsid w:val="00BE76C5"/>
    <w:rsid w:val="00BE7810"/>
    <w:rsid w:val="00BE7D78"/>
    <w:rsid w:val="00BF0AF8"/>
    <w:rsid w:val="00BF12B1"/>
    <w:rsid w:val="00BF172F"/>
    <w:rsid w:val="00BF17B9"/>
    <w:rsid w:val="00BF1885"/>
    <w:rsid w:val="00BF1AD6"/>
    <w:rsid w:val="00BF3EAC"/>
    <w:rsid w:val="00BF490C"/>
    <w:rsid w:val="00BF4E2E"/>
    <w:rsid w:val="00BF594D"/>
    <w:rsid w:val="00BF5DBC"/>
    <w:rsid w:val="00BF7051"/>
    <w:rsid w:val="00BF7305"/>
    <w:rsid w:val="00BF7555"/>
    <w:rsid w:val="00BF7A3C"/>
    <w:rsid w:val="00C007D9"/>
    <w:rsid w:val="00C01CEE"/>
    <w:rsid w:val="00C05641"/>
    <w:rsid w:val="00C0576C"/>
    <w:rsid w:val="00C07A58"/>
    <w:rsid w:val="00C101B6"/>
    <w:rsid w:val="00C10215"/>
    <w:rsid w:val="00C12F3A"/>
    <w:rsid w:val="00C149B7"/>
    <w:rsid w:val="00C14CA0"/>
    <w:rsid w:val="00C1596E"/>
    <w:rsid w:val="00C15BFF"/>
    <w:rsid w:val="00C15EE2"/>
    <w:rsid w:val="00C15F1F"/>
    <w:rsid w:val="00C167CA"/>
    <w:rsid w:val="00C168BA"/>
    <w:rsid w:val="00C16B45"/>
    <w:rsid w:val="00C1737A"/>
    <w:rsid w:val="00C179D5"/>
    <w:rsid w:val="00C20478"/>
    <w:rsid w:val="00C20A0B"/>
    <w:rsid w:val="00C20BF7"/>
    <w:rsid w:val="00C20E93"/>
    <w:rsid w:val="00C20F90"/>
    <w:rsid w:val="00C21FB6"/>
    <w:rsid w:val="00C233D0"/>
    <w:rsid w:val="00C23532"/>
    <w:rsid w:val="00C25256"/>
    <w:rsid w:val="00C25612"/>
    <w:rsid w:val="00C25FA5"/>
    <w:rsid w:val="00C2680E"/>
    <w:rsid w:val="00C308D8"/>
    <w:rsid w:val="00C31627"/>
    <w:rsid w:val="00C32512"/>
    <w:rsid w:val="00C32809"/>
    <w:rsid w:val="00C334F2"/>
    <w:rsid w:val="00C3380B"/>
    <w:rsid w:val="00C3471E"/>
    <w:rsid w:val="00C35F4C"/>
    <w:rsid w:val="00C369C6"/>
    <w:rsid w:val="00C36C66"/>
    <w:rsid w:val="00C37DB9"/>
    <w:rsid w:val="00C41362"/>
    <w:rsid w:val="00C413E4"/>
    <w:rsid w:val="00C42A84"/>
    <w:rsid w:val="00C42DA6"/>
    <w:rsid w:val="00C442E7"/>
    <w:rsid w:val="00C44801"/>
    <w:rsid w:val="00C44D07"/>
    <w:rsid w:val="00C44FDF"/>
    <w:rsid w:val="00C459CA"/>
    <w:rsid w:val="00C45ADD"/>
    <w:rsid w:val="00C46E5B"/>
    <w:rsid w:val="00C47DA9"/>
    <w:rsid w:val="00C512E7"/>
    <w:rsid w:val="00C53565"/>
    <w:rsid w:val="00C53999"/>
    <w:rsid w:val="00C53FFA"/>
    <w:rsid w:val="00C54BDB"/>
    <w:rsid w:val="00C561B0"/>
    <w:rsid w:val="00C603B9"/>
    <w:rsid w:val="00C607AA"/>
    <w:rsid w:val="00C60FA0"/>
    <w:rsid w:val="00C618D4"/>
    <w:rsid w:val="00C61C45"/>
    <w:rsid w:val="00C630D5"/>
    <w:rsid w:val="00C63DFA"/>
    <w:rsid w:val="00C65B2A"/>
    <w:rsid w:val="00C66456"/>
    <w:rsid w:val="00C67B6D"/>
    <w:rsid w:val="00C7073C"/>
    <w:rsid w:val="00C710AF"/>
    <w:rsid w:val="00C72520"/>
    <w:rsid w:val="00C729A6"/>
    <w:rsid w:val="00C72A04"/>
    <w:rsid w:val="00C7398A"/>
    <w:rsid w:val="00C73B05"/>
    <w:rsid w:val="00C744A1"/>
    <w:rsid w:val="00C74842"/>
    <w:rsid w:val="00C75875"/>
    <w:rsid w:val="00C76CE8"/>
    <w:rsid w:val="00C76DA4"/>
    <w:rsid w:val="00C7774B"/>
    <w:rsid w:val="00C77B73"/>
    <w:rsid w:val="00C80434"/>
    <w:rsid w:val="00C806C0"/>
    <w:rsid w:val="00C8166C"/>
    <w:rsid w:val="00C8199C"/>
    <w:rsid w:val="00C8263D"/>
    <w:rsid w:val="00C83B2E"/>
    <w:rsid w:val="00C8440C"/>
    <w:rsid w:val="00C84524"/>
    <w:rsid w:val="00C85C7D"/>
    <w:rsid w:val="00C8675A"/>
    <w:rsid w:val="00C867F0"/>
    <w:rsid w:val="00C86E7A"/>
    <w:rsid w:val="00C86EC0"/>
    <w:rsid w:val="00C874D6"/>
    <w:rsid w:val="00C87535"/>
    <w:rsid w:val="00C87B96"/>
    <w:rsid w:val="00C87D94"/>
    <w:rsid w:val="00C88B99"/>
    <w:rsid w:val="00C900DE"/>
    <w:rsid w:val="00C919A0"/>
    <w:rsid w:val="00C919A1"/>
    <w:rsid w:val="00C919C0"/>
    <w:rsid w:val="00C91B09"/>
    <w:rsid w:val="00C91B21"/>
    <w:rsid w:val="00C91B76"/>
    <w:rsid w:val="00C91E18"/>
    <w:rsid w:val="00C92897"/>
    <w:rsid w:val="00C92FC1"/>
    <w:rsid w:val="00C9320C"/>
    <w:rsid w:val="00C93310"/>
    <w:rsid w:val="00C93DFC"/>
    <w:rsid w:val="00C94029"/>
    <w:rsid w:val="00C944D2"/>
    <w:rsid w:val="00C94E6E"/>
    <w:rsid w:val="00C9789C"/>
    <w:rsid w:val="00CA0503"/>
    <w:rsid w:val="00CA0D2A"/>
    <w:rsid w:val="00CA0DE7"/>
    <w:rsid w:val="00CA2AD6"/>
    <w:rsid w:val="00CA2EBF"/>
    <w:rsid w:val="00CA30F2"/>
    <w:rsid w:val="00CA4812"/>
    <w:rsid w:val="00CA4E2D"/>
    <w:rsid w:val="00CA731E"/>
    <w:rsid w:val="00CA7D35"/>
    <w:rsid w:val="00CB01F9"/>
    <w:rsid w:val="00CB02ED"/>
    <w:rsid w:val="00CB103F"/>
    <w:rsid w:val="00CB117C"/>
    <w:rsid w:val="00CB1FD7"/>
    <w:rsid w:val="00CB3E94"/>
    <w:rsid w:val="00CB47CE"/>
    <w:rsid w:val="00CB4A91"/>
    <w:rsid w:val="00CB65C3"/>
    <w:rsid w:val="00CB67D1"/>
    <w:rsid w:val="00CB7789"/>
    <w:rsid w:val="00CC04C9"/>
    <w:rsid w:val="00CC098F"/>
    <w:rsid w:val="00CC0B18"/>
    <w:rsid w:val="00CC1626"/>
    <w:rsid w:val="00CC1CC4"/>
    <w:rsid w:val="00CC1DD5"/>
    <w:rsid w:val="00CC3EDE"/>
    <w:rsid w:val="00CC6126"/>
    <w:rsid w:val="00CC79B7"/>
    <w:rsid w:val="00CD17CA"/>
    <w:rsid w:val="00CD23A5"/>
    <w:rsid w:val="00CD337D"/>
    <w:rsid w:val="00CD4415"/>
    <w:rsid w:val="00CD4916"/>
    <w:rsid w:val="00CD646C"/>
    <w:rsid w:val="00CD73AC"/>
    <w:rsid w:val="00CE0C17"/>
    <w:rsid w:val="00CE0F80"/>
    <w:rsid w:val="00CE197E"/>
    <w:rsid w:val="00CE198E"/>
    <w:rsid w:val="00CE1B15"/>
    <w:rsid w:val="00CE1B5A"/>
    <w:rsid w:val="00CE1FA5"/>
    <w:rsid w:val="00CE3377"/>
    <w:rsid w:val="00CE3467"/>
    <w:rsid w:val="00CE3FCE"/>
    <w:rsid w:val="00CE4457"/>
    <w:rsid w:val="00CE4F01"/>
    <w:rsid w:val="00CE5F3F"/>
    <w:rsid w:val="00CE696E"/>
    <w:rsid w:val="00CE74AE"/>
    <w:rsid w:val="00CE77E9"/>
    <w:rsid w:val="00CF046C"/>
    <w:rsid w:val="00CF0BE8"/>
    <w:rsid w:val="00CF0F69"/>
    <w:rsid w:val="00CF1009"/>
    <w:rsid w:val="00CF174B"/>
    <w:rsid w:val="00CF39F1"/>
    <w:rsid w:val="00CF45BD"/>
    <w:rsid w:val="00CF4744"/>
    <w:rsid w:val="00CF4B09"/>
    <w:rsid w:val="00CF5850"/>
    <w:rsid w:val="00CF6823"/>
    <w:rsid w:val="00CF6A1E"/>
    <w:rsid w:val="00CF749C"/>
    <w:rsid w:val="00CF7E18"/>
    <w:rsid w:val="00D002B2"/>
    <w:rsid w:val="00D00803"/>
    <w:rsid w:val="00D02B5A"/>
    <w:rsid w:val="00D04A85"/>
    <w:rsid w:val="00D04F5A"/>
    <w:rsid w:val="00D04F81"/>
    <w:rsid w:val="00D056B6"/>
    <w:rsid w:val="00D05806"/>
    <w:rsid w:val="00D069C7"/>
    <w:rsid w:val="00D07481"/>
    <w:rsid w:val="00D10168"/>
    <w:rsid w:val="00D10DD1"/>
    <w:rsid w:val="00D11437"/>
    <w:rsid w:val="00D121B4"/>
    <w:rsid w:val="00D1497C"/>
    <w:rsid w:val="00D151C1"/>
    <w:rsid w:val="00D16885"/>
    <w:rsid w:val="00D16B37"/>
    <w:rsid w:val="00D179E6"/>
    <w:rsid w:val="00D17F82"/>
    <w:rsid w:val="00D20927"/>
    <w:rsid w:val="00D20C4F"/>
    <w:rsid w:val="00D2456A"/>
    <w:rsid w:val="00D24586"/>
    <w:rsid w:val="00D24CB1"/>
    <w:rsid w:val="00D259B7"/>
    <w:rsid w:val="00D25B84"/>
    <w:rsid w:val="00D26B99"/>
    <w:rsid w:val="00D273AF"/>
    <w:rsid w:val="00D2790B"/>
    <w:rsid w:val="00D3071B"/>
    <w:rsid w:val="00D314AE"/>
    <w:rsid w:val="00D31B6F"/>
    <w:rsid w:val="00D32140"/>
    <w:rsid w:val="00D33332"/>
    <w:rsid w:val="00D33E5E"/>
    <w:rsid w:val="00D34BAC"/>
    <w:rsid w:val="00D35CCC"/>
    <w:rsid w:val="00D36F2C"/>
    <w:rsid w:val="00D374FB"/>
    <w:rsid w:val="00D37AB9"/>
    <w:rsid w:val="00D4024B"/>
    <w:rsid w:val="00D40D73"/>
    <w:rsid w:val="00D414CC"/>
    <w:rsid w:val="00D41919"/>
    <w:rsid w:val="00D41951"/>
    <w:rsid w:val="00D41A22"/>
    <w:rsid w:val="00D41C68"/>
    <w:rsid w:val="00D42BF2"/>
    <w:rsid w:val="00D42D38"/>
    <w:rsid w:val="00D43245"/>
    <w:rsid w:val="00D43831"/>
    <w:rsid w:val="00D43A8B"/>
    <w:rsid w:val="00D43B43"/>
    <w:rsid w:val="00D44D1D"/>
    <w:rsid w:val="00D44FE3"/>
    <w:rsid w:val="00D461D6"/>
    <w:rsid w:val="00D462F3"/>
    <w:rsid w:val="00D4671B"/>
    <w:rsid w:val="00D46AC3"/>
    <w:rsid w:val="00D47146"/>
    <w:rsid w:val="00D50A27"/>
    <w:rsid w:val="00D5115D"/>
    <w:rsid w:val="00D5131C"/>
    <w:rsid w:val="00D51494"/>
    <w:rsid w:val="00D52286"/>
    <w:rsid w:val="00D525BD"/>
    <w:rsid w:val="00D52F60"/>
    <w:rsid w:val="00D53866"/>
    <w:rsid w:val="00D539CC"/>
    <w:rsid w:val="00D54087"/>
    <w:rsid w:val="00D54948"/>
    <w:rsid w:val="00D54EDB"/>
    <w:rsid w:val="00D553D1"/>
    <w:rsid w:val="00D558A0"/>
    <w:rsid w:val="00D55B23"/>
    <w:rsid w:val="00D55B3E"/>
    <w:rsid w:val="00D56268"/>
    <w:rsid w:val="00D605B0"/>
    <w:rsid w:val="00D625B3"/>
    <w:rsid w:val="00D62EB6"/>
    <w:rsid w:val="00D63B84"/>
    <w:rsid w:val="00D64CBE"/>
    <w:rsid w:val="00D66C70"/>
    <w:rsid w:val="00D6731F"/>
    <w:rsid w:val="00D67808"/>
    <w:rsid w:val="00D67982"/>
    <w:rsid w:val="00D71910"/>
    <w:rsid w:val="00D71B5C"/>
    <w:rsid w:val="00D726B3"/>
    <w:rsid w:val="00D727DD"/>
    <w:rsid w:val="00D72AC5"/>
    <w:rsid w:val="00D72BC3"/>
    <w:rsid w:val="00D72E83"/>
    <w:rsid w:val="00D735C7"/>
    <w:rsid w:val="00D745F3"/>
    <w:rsid w:val="00D74A06"/>
    <w:rsid w:val="00D74D8E"/>
    <w:rsid w:val="00D74EDB"/>
    <w:rsid w:val="00D75042"/>
    <w:rsid w:val="00D7742A"/>
    <w:rsid w:val="00D77DF6"/>
    <w:rsid w:val="00D80376"/>
    <w:rsid w:val="00D80D05"/>
    <w:rsid w:val="00D80D7C"/>
    <w:rsid w:val="00D82AEB"/>
    <w:rsid w:val="00D84E01"/>
    <w:rsid w:val="00D85475"/>
    <w:rsid w:val="00D854F5"/>
    <w:rsid w:val="00D86E87"/>
    <w:rsid w:val="00D8719A"/>
    <w:rsid w:val="00D87DBC"/>
    <w:rsid w:val="00D90E8A"/>
    <w:rsid w:val="00D9108B"/>
    <w:rsid w:val="00D916DA"/>
    <w:rsid w:val="00D9219A"/>
    <w:rsid w:val="00D924F5"/>
    <w:rsid w:val="00D9281E"/>
    <w:rsid w:val="00D9410C"/>
    <w:rsid w:val="00D957DB"/>
    <w:rsid w:val="00D95AFC"/>
    <w:rsid w:val="00D95C16"/>
    <w:rsid w:val="00D95E5E"/>
    <w:rsid w:val="00D968E1"/>
    <w:rsid w:val="00D97CC0"/>
    <w:rsid w:val="00D97E0D"/>
    <w:rsid w:val="00DA1962"/>
    <w:rsid w:val="00DA224A"/>
    <w:rsid w:val="00DA2723"/>
    <w:rsid w:val="00DA29AF"/>
    <w:rsid w:val="00DA3284"/>
    <w:rsid w:val="00DA4228"/>
    <w:rsid w:val="00DA6EAB"/>
    <w:rsid w:val="00DA723F"/>
    <w:rsid w:val="00DB03FA"/>
    <w:rsid w:val="00DB0D83"/>
    <w:rsid w:val="00DB154A"/>
    <w:rsid w:val="00DB2E2E"/>
    <w:rsid w:val="00DB40F6"/>
    <w:rsid w:val="00DB4D7F"/>
    <w:rsid w:val="00DB63CD"/>
    <w:rsid w:val="00DB7300"/>
    <w:rsid w:val="00DC122D"/>
    <w:rsid w:val="00DC1AA8"/>
    <w:rsid w:val="00DC1AB6"/>
    <w:rsid w:val="00DC1E98"/>
    <w:rsid w:val="00DC51D9"/>
    <w:rsid w:val="00DC5944"/>
    <w:rsid w:val="00DC7E35"/>
    <w:rsid w:val="00DD079B"/>
    <w:rsid w:val="00DD0EDE"/>
    <w:rsid w:val="00DD284C"/>
    <w:rsid w:val="00DD2CF2"/>
    <w:rsid w:val="00DD31AE"/>
    <w:rsid w:val="00DD3B51"/>
    <w:rsid w:val="00DD445B"/>
    <w:rsid w:val="00DD4978"/>
    <w:rsid w:val="00DD581D"/>
    <w:rsid w:val="00DD59B0"/>
    <w:rsid w:val="00DD6491"/>
    <w:rsid w:val="00DD67CE"/>
    <w:rsid w:val="00DD6ADF"/>
    <w:rsid w:val="00DD6EBB"/>
    <w:rsid w:val="00DD6F73"/>
    <w:rsid w:val="00DE0E38"/>
    <w:rsid w:val="00DE1226"/>
    <w:rsid w:val="00DE19E5"/>
    <w:rsid w:val="00DE21C2"/>
    <w:rsid w:val="00DE2C60"/>
    <w:rsid w:val="00DE2F4F"/>
    <w:rsid w:val="00DE3828"/>
    <w:rsid w:val="00DE44DB"/>
    <w:rsid w:val="00DE4B66"/>
    <w:rsid w:val="00DE4C4B"/>
    <w:rsid w:val="00DE5975"/>
    <w:rsid w:val="00DE5E0B"/>
    <w:rsid w:val="00DE6956"/>
    <w:rsid w:val="00DE7F68"/>
    <w:rsid w:val="00DF0056"/>
    <w:rsid w:val="00DF329B"/>
    <w:rsid w:val="00DF5051"/>
    <w:rsid w:val="00DF622C"/>
    <w:rsid w:val="00DF62A1"/>
    <w:rsid w:val="00DF6E73"/>
    <w:rsid w:val="00DF73EE"/>
    <w:rsid w:val="00DF74FE"/>
    <w:rsid w:val="00DF76F4"/>
    <w:rsid w:val="00DF7941"/>
    <w:rsid w:val="00DF7BD9"/>
    <w:rsid w:val="00E00274"/>
    <w:rsid w:val="00E00550"/>
    <w:rsid w:val="00E00586"/>
    <w:rsid w:val="00E00F56"/>
    <w:rsid w:val="00E035E9"/>
    <w:rsid w:val="00E0379B"/>
    <w:rsid w:val="00E04337"/>
    <w:rsid w:val="00E056AF"/>
    <w:rsid w:val="00E05B42"/>
    <w:rsid w:val="00E06437"/>
    <w:rsid w:val="00E074EA"/>
    <w:rsid w:val="00E10D83"/>
    <w:rsid w:val="00E11221"/>
    <w:rsid w:val="00E113C4"/>
    <w:rsid w:val="00E125E1"/>
    <w:rsid w:val="00E12CC6"/>
    <w:rsid w:val="00E136DE"/>
    <w:rsid w:val="00E147C1"/>
    <w:rsid w:val="00E160F1"/>
    <w:rsid w:val="00E16566"/>
    <w:rsid w:val="00E16E5D"/>
    <w:rsid w:val="00E1756F"/>
    <w:rsid w:val="00E2274D"/>
    <w:rsid w:val="00E2391B"/>
    <w:rsid w:val="00E270E8"/>
    <w:rsid w:val="00E27286"/>
    <w:rsid w:val="00E27930"/>
    <w:rsid w:val="00E27E59"/>
    <w:rsid w:val="00E3016B"/>
    <w:rsid w:val="00E309BB"/>
    <w:rsid w:val="00E30E32"/>
    <w:rsid w:val="00E31AAF"/>
    <w:rsid w:val="00E32C86"/>
    <w:rsid w:val="00E337A7"/>
    <w:rsid w:val="00E34F22"/>
    <w:rsid w:val="00E35ACA"/>
    <w:rsid w:val="00E367AA"/>
    <w:rsid w:val="00E36A7C"/>
    <w:rsid w:val="00E36B06"/>
    <w:rsid w:val="00E37C5A"/>
    <w:rsid w:val="00E40727"/>
    <w:rsid w:val="00E421D3"/>
    <w:rsid w:val="00E42CEF"/>
    <w:rsid w:val="00E44151"/>
    <w:rsid w:val="00E4468A"/>
    <w:rsid w:val="00E446E9"/>
    <w:rsid w:val="00E44BEB"/>
    <w:rsid w:val="00E44EE9"/>
    <w:rsid w:val="00E4590B"/>
    <w:rsid w:val="00E45D74"/>
    <w:rsid w:val="00E461AC"/>
    <w:rsid w:val="00E47AB7"/>
    <w:rsid w:val="00E508E0"/>
    <w:rsid w:val="00E51044"/>
    <w:rsid w:val="00E5112F"/>
    <w:rsid w:val="00E5204A"/>
    <w:rsid w:val="00E52091"/>
    <w:rsid w:val="00E5224F"/>
    <w:rsid w:val="00E551B3"/>
    <w:rsid w:val="00E5557B"/>
    <w:rsid w:val="00E55916"/>
    <w:rsid w:val="00E55EF8"/>
    <w:rsid w:val="00E564B4"/>
    <w:rsid w:val="00E567F2"/>
    <w:rsid w:val="00E56DFF"/>
    <w:rsid w:val="00E57A0B"/>
    <w:rsid w:val="00E6052D"/>
    <w:rsid w:val="00E608C9"/>
    <w:rsid w:val="00E61089"/>
    <w:rsid w:val="00E61AAC"/>
    <w:rsid w:val="00E61F93"/>
    <w:rsid w:val="00E62652"/>
    <w:rsid w:val="00E6278D"/>
    <w:rsid w:val="00E62DC7"/>
    <w:rsid w:val="00E63245"/>
    <w:rsid w:val="00E6327A"/>
    <w:rsid w:val="00E640F8"/>
    <w:rsid w:val="00E64E83"/>
    <w:rsid w:val="00E653D8"/>
    <w:rsid w:val="00E65A19"/>
    <w:rsid w:val="00E65D77"/>
    <w:rsid w:val="00E6638B"/>
    <w:rsid w:val="00E67986"/>
    <w:rsid w:val="00E71EC7"/>
    <w:rsid w:val="00E72675"/>
    <w:rsid w:val="00E72D38"/>
    <w:rsid w:val="00E72E12"/>
    <w:rsid w:val="00E7394D"/>
    <w:rsid w:val="00E75A25"/>
    <w:rsid w:val="00E76371"/>
    <w:rsid w:val="00E76C35"/>
    <w:rsid w:val="00E77698"/>
    <w:rsid w:val="00E80DD2"/>
    <w:rsid w:val="00E8124E"/>
    <w:rsid w:val="00E82405"/>
    <w:rsid w:val="00E83447"/>
    <w:rsid w:val="00E8362F"/>
    <w:rsid w:val="00E849EF"/>
    <w:rsid w:val="00E8510B"/>
    <w:rsid w:val="00E861D9"/>
    <w:rsid w:val="00E87803"/>
    <w:rsid w:val="00E87E10"/>
    <w:rsid w:val="00E87FEE"/>
    <w:rsid w:val="00E8C173"/>
    <w:rsid w:val="00E910D2"/>
    <w:rsid w:val="00E91937"/>
    <w:rsid w:val="00E91EDD"/>
    <w:rsid w:val="00E92599"/>
    <w:rsid w:val="00E92A79"/>
    <w:rsid w:val="00E92CFE"/>
    <w:rsid w:val="00E94798"/>
    <w:rsid w:val="00E9504D"/>
    <w:rsid w:val="00E97467"/>
    <w:rsid w:val="00E97D83"/>
    <w:rsid w:val="00E97E7E"/>
    <w:rsid w:val="00EA008A"/>
    <w:rsid w:val="00EA056C"/>
    <w:rsid w:val="00EA0BA1"/>
    <w:rsid w:val="00EA0DC0"/>
    <w:rsid w:val="00EA1386"/>
    <w:rsid w:val="00EA2BA3"/>
    <w:rsid w:val="00EA2D14"/>
    <w:rsid w:val="00EA3198"/>
    <w:rsid w:val="00EA4724"/>
    <w:rsid w:val="00EA5638"/>
    <w:rsid w:val="00EA6067"/>
    <w:rsid w:val="00EA60E5"/>
    <w:rsid w:val="00EA6586"/>
    <w:rsid w:val="00EA6B6A"/>
    <w:rsid w:val="00EA6B7F"/>
    <w:rsid w:val="00EA6E92"/>
    <w:rsid w:val="00EB0165"/>
    <w:rsid w:val="00EB0475"/>
    <w:rsid w:val="00EB04BB"/>
    <w:rsid w:val="00EB09D6"/>
    <w:rsid w:val="00EB0D27"/>
    <w:rsid w:val="00EB0D40"/>
    <w:rsid w:val="00EB218F"/>
    <w:rsid w:val="00EB2D23"/>
    <w:rsid w:val="00EB393C"/>
    <w:rsid w:val="00EB6169"/>
    <w:rsid w:val="00EB6A12"/>
    <w:rsid w:val="00EB6D6F"/>
    <w:rsid w:val="00EB750E"/>
    <w:rsid w:val="00EC1EC8"/>
    <w:rsid w:val="00EC28AC"/>
    <w:rsid w:val="00EC37D7"/>
    <w:rsid w:val="00EC45EB"/>
    <w:rsid w:val="00EC4DB0"/>
    <w:rsid w:val="00EC59EB"/>
    <w:rsid w:val="00EC5B4D"/>
    <w:rsid w:val="00EC61D1"/>
    <w:rsid w:val="00EC6220"/>
    <w:rsid w:val="00EC63B2"/>
    <w:rsid w:val="00EC67AE"/>
    <w:rsid w:val="00EC6D6F"/>
    <w:rsid w:val="00EC7CEF"/>
    <w:rsid w:val="00ED00F4"/>
    <w:rsid w:val="00ED2075"/>
    <w:rsid w:val="00ED21BF"/>
    <w:rsid w:val="00ED30B3"/>
    <w:rsid w:val="00ED3DBC"/>
    <w:rsid w:val="00ED5787"/>
    <w:rsid w:val="00ED6514"/>
    <w:rsid w:val="00ED6B73"/>
    <w:rsid w:val="00ED7086"/>
    <w:rsid w:val="00ED7FC6"/>
    <w:rsid w:val="00EE0219"/>
    <w:rsid w:val="00EE1DFF"/>
    <w:rsid w:val="00EE3F19"/>
    <w:rsid w:val="00EE4C34"/>
    <w:rsid w:val="00EE55F4"/>
    <w:rsid w:val="00EE6218"/>
    <w:rsid w:val="00EE622E"/>
    <w:rsid w:val="00EE6BAD"/>
    <w:rsid w:val="00EE778C"/>
    <w:rsid w:val="00EF08DD"/>
    <w:rsid w:val="00EF2787"/>
    <w:rsid w:val="00EF2B16"/>
    <w:rsid w:val="00EF2FE1"/>
    <w:rsid w:val="00EF31FA"/>
    <w:rsid w:val="00EF3C84"/>
    <w:rsid w:val="00EF4298"/>
    <w:rsid w:val="00EF476E"/>
    <w:rsid w:val="00EF4FBD"/>
    <w:rsid w:val="00EF697C"/>
    <w:rsid w:val="00F00053"/>
    <w:rsid w:val="00F00B57"/>
    <w:rsid w:val="00F01F88"/>
    <w:rsid w:val="00F02D36"/>
    <w:rsid w:val="00F03CF4"/>
    <w:rsid w:val="00F05116"/>
    <w:rsid w:val="00F05352"/>
    <w:rsid w:val="00F05501"/>
    <w:rsid w:val="00F06747"/>
    <w:rsid w:val="00F06AA7"/>
    <w:rsid w:val="00F1010A"/>
    <w:rsid w:val="00F10F31"/>
    <w:rsid w:val="00F13E48"/>
    <w:rsid w:val="00F15DDD"/>
    <w:rsid w:val="00F163D5"/>
    <w:rsid w:val="00F16C40"/>
    <w:rsid w:val="00F20772"/>
    <w:rsid w:val="00F20D58"/>
    <w:rsid w:val="00F21909"/>
    <w:rsid w:val="00F222BA"/>
    <w:rsid w:val="00F231A4"/>
    <w:rsid w:val="00F247C3"/>
    <w:rsid w:val="00F24AA5"/>
    <w:rsid w:val="00F24D8D"/>
    <w:rsid w:val="00F2533D"/>
    <w:rsid w:val="00F259C4"/>
    <w:rsid w:val="00F25E7C"/>
    <w:rsid w:val="00F2643B"/>
    <w:rsid w:val="00F269FB"/>
    <w:rsid w:val="00F26D81"/>
    <w:rsid w:val="00F277F7"/>
    <w:rsid w:val="00F27E1F"/>
    <w:rsid w:val="00F30912"/>
    <w:rsid w:val="00F328B3"/>
    <w:rsid w:val="00F32F95"/>
    <w:rsid w:val="00F33752"/>
    <w:rsid w:val="00F33D59"/>
    <w:rsid w:val="00F354FA"/>
    <w:rsid w:val="00F36308"/>
    <w:rsid w:val="00F36659"/>
    <w:rsid w:val="00F366F4"/>
    <w:rsid w:val="00F40789"/>
    <w:rsid w:val="00F40F03"/>
    <w:rsid w:val="00F40FD1"/>
    <w:rsid w:val="00F417B9"/>
    <w:rsid w:val="00F426EF"/>
    <w:rsid w:val="00F4335F"/>
    <w:rsid w:val="00F43E77"/>
    <w:rsid w:val="00F44330"/>
    <w:rsid w:val="00F44550"/>
    <w:rsid w:val="00F44ED5"/>
    <w:rsid w:val="00F45B27"/>
    <w:rsid w:val="00F473BE"/>
    <w:rsid w:val="00F4780F"/>
    <w:rsid w:val="00F505B3"/>
    <w:rsid w:val="00F50BEC"/>
    <w:rsid w:val="00F51937"/>
    <w:rsid w:val="00F5196E"/>
    <w:rsid w:val="00F520D0"/>
    <w:rsid w:val="00F52C37"/>
    <w:rsid w:val="00F535D9"/>
    <w:rsid w:val="00F54573"/>
    <w:rsid w:val="00F55632"/>
    <w:rsid w:val="00F55A84"/>
    <w:rsid w:val="00F55CA0"/>
    <w:rsid w:val="00F56EB7"/>
    <w:rsid w:val="00F573D4"/>
    <w:rsid w:val="00F57B8B"/>
    <w:rsid w:val="00F57CE0"/>
    <w:rsid w:val="00F602F7"/>
    <w:rsid w:val="00F604A2"/>
    <w:rsid w:val="00F610C2"/>
    <w:rsid w:val="00F644E2"/>
    <w:rsid w:val="00F64C58"/>
    <w:rsid w:val="00F6621A"/>
    <w:rsid w:val="00F67FBF"/>
    <w:rsid w:val="00F741B4"/>
    <w:rsid w:val="00F74620"/>
    <w:rsid w:val="00F75C03"/>
    <w:rsid w:val="00F762E0"/>
    <w:rsid w:val="00F779A5"/>
    <w:rsid w:val="00F8000A"/>
    <w:rsid w:val="00F80DCE"/>
    <w:rsid w:val="00F80F40"/>
    <w:rsid w:val="00F8163E"/>
    <w:rsid w:val="00F81E0B"/>
    <w:rsid w:val="00F81E56"/>
    <w:rsid w:val="00F8209B"/>
    <w:rsid w:val="00F83FB9"/>
    <w:rsid w:val="00F86367"/>
    <w:rsid w:val="00F863EE"/>
    <w:rsid w:val="00F86AEA"/>
    <w:rsid w:val="00F917D4"/>
    <w:rsid w:val="00F917D8"/>
    <w:rsid w:val="00F92287"/>
    <w:rsid w:val="00F92633"/>
    <w:rsid w:val="00F935CD"/>
    <w:rsid w:val="00FA0122"/>
    <w:rsid w:val="00FA0E94"/>
    <w:rsid w:val="00FA17A0"/>
    <w:rsid w:val="00FA1E34"/>
    <w:rsid w:val="00FA23F5"/>
    <w:rsid w:val="00FA2ABC"/>
    <w:rsid w:val="00FA2FBE"/>
    <w:rsid w:val="00FA4F1D"/>
    <w:rsid w:val="00FA5A36"/>
    <w:rsid w:val="00FA5E9F"/>
    <w:rsid w:val="00FA64DE"/>
    <w:rsid w:val="00FA7944"/>
    <w:rsid w:val="00FA7AD2"/>
    <w:rsid w:val="00FA7F71"/>
    <w:rsid w:val="00FB1BFE"/>
    <w:rsid w:val="00FB23F6"/>
    <w:rsid w:val="00FB2802"/>
    <w:rsid w:val="00FB3D2C"/>
    <w:rsid w:val="00FB3DB6"/>
    <w:rsid w:val="00FB4F60"/>
    <w:rsid w:val="00FC1954"/>
    <w:rsid w:val="00FC20EB"/>
    <w:rsid w:val="00FC2D17"/>
    <w:rsid w:val="00FC3043"/>
    <w:rsid w:val="00FC4091"/>
    <w:rsid w:val="00FC5486"/>
    <w:rsid w:val="00FC54A1"/>
    <w:rsid w:val="00FC6ACA"/>
    <w:rsid w:val="00FC705F"/>
    <w:rsid w:val="00FC73DC"/>
    <w:rsid w:val="00FD095A"/>
    <w:rsid w:val="00FD0A96"/>
    <w:rsid w:val="00FD1239"/>
    <w:rsid w:val="00FD1A38"/>
    <w:rsid w:val="00FD2202"/>
    <w:rsid w:val="00FD2BEA"/>
    <w:rsid w:val="00FD363A"/>
    <w:rsid w:val="00FD4302"/>
    <w:rsid w:val="00FD4688"/>
    <w:rsid w:val="00FD46D0"/>
    <w:rsid w:val="00FD4842"/>
    <w:rsid w:val="00FD507D"/>
    <w:rsid w:val="00FD531B"/>
    <w:rsid w:val="00FD5D0E"/>
    <w:rsid w:val="00FD6805"/>
    <w:rsid w:val="00FD68D7"/>
    <w:rsid w:val="00FD791A"/>
    <w:rsid w:val="00FE1932"/>
    <w:rsid w:val="00FE19D3"/>
    <w:rsid w:val="00FE27D6"/>
    <w:rsid w:val="00FE2E29"/>
    <w:rsid w:val="00FE36FA"/>
    <w:rsid w:val="00FE3FD4"/>
    <w:rsid w:val="00FE5799"/>
    <w:rsid w:val="00FE5E41"/>
    <w:rsid w:val="00FE6C21"/>
    <w:rsid w:val="00FE75D9"/>
    <w:rsid w:val="00FF0650"/>
    <w:rsid w:val="00FF0909"/>
    <w:rsid w:val="00FF0AA3"/>
    <w:rsid w:val="00FF1382"/>
    <w:rsid w:val="00FF2E05"/>
    <w:rsid w:val="00FF38A4"/>
    <w:rsid w:val="00FF3A93"/>
    <w:rsid w:val="00FF437F"/>
    <w:rsid w:val="00FF663A"/>
    <w:rsid w:val="00FF68F3"/>
    <w:rsid w:val="00FF6BF5"/>
    <w:rsid w:val="00FF6C01"/>
    <w:rsid w:val="01060112"/>
    <w:rsid w:val="0116DEB4"/>
    <w:rsid w:val="01425325"/>
    <w:rsid w:val="0179FCD2"/>
    <w:rsid w:val="018A422E"/>
    <w:rsid w:val="01F1786D"/>
    <w:rsid w:val="01F66332"/>
    <w:rsid w:val="021FA399"/>
    <w:rsid w:val="02253550"/>
    <w:rsid w:val="02354BCF"/>
    <w:rsid w:val="0237F596"/>
    <w:rsid w:val="023E44D9"/>
    <w:rsid w:val="025CB0DE"/>
    <w:rsid w:val="025E9B08"/>
    <w:rsid w:val="02600101"/>
    <w:rsid w:val="029509DB"/>
    <w:rsid w:val="02EDB8CE"/>
    <w:rsid w:val="02F24934"/>
    <w:rsid w:val="0303FDE1"/>
    <w:rsid w:val="0317388F"/>
    <w:rsid w:val="032818C0"/>
    <w:rsid w:val="032DB4EE"/>
    <w:rsid w:val="03476BD1"/>
    <w:rsid w:val="034B979B"/>
    <w:rsid w:val="0363D151"/>
    <w:rsid w:val="03ABD979"/>
    <w:rsid w:val="03ABF2A3"/>
    <w:rsid w:val="03CB187E"/>
    <w:rsid w:val="03D3AECA"/>
    <w:rsid w:val="03F34EA0"/>
    <w:rsid w:val="042C86F7"/>
    <w:rsid w:val="0430412F"/>
    <w:rsid w:val="043E6C1D"/>
    <w:rsid w:val="0471788C"/>
    <w:rsid w:val="0473F906"/>
    <w:rsid w:val="047576A1"/>
    <w:rsid w:val="047A43AF"/>
    <w:rsid w:val="049AF5CA"/>
    <w:rsid w:val="04D748EA"/>
    <w:rsid w:val="04E98B73"/>
    <w:rsid w:val="051A52FC"/>
    <w:rsid w:val="05251FF5"/>
    <w:rsid w:val="05651436"/>
    <w:rsid w:val="056BAC4D"/>
    <w:rsid w:val="057AB694"/>
    <w:rsid w:val="05837340"/>
    <w:rsid w:val="0595B413"/>
    <w:rsid w:val="05DF10A4"/>
    <w:rsid w:val="0608ADE1"/>
    <w:rsid w:val="06094142"/>
    <w:rsid w:val="061A56EA"/>
    <w:rsid w:val="0632270B"/>
    <w:rsid w:val="0635D23F"/>
    <w:rsid w:val="065C6C55"/>
    <w:rsid w:val="069471B6"/>
    <w:rsid w:val="069651E2"/>
    <w:rsid w:val="069663DA"/>
    <w:rsid w:val="06992E1C"/>
    <w:rsid w:val="06A051AB"/>
    <w:rsid w:val="06A7BF8A"/>
    <w:rsid w:val="06B3C1C0"/>
    <w:rsid w:val="06B916F1"/>
    <w:rsid w:val="06C6D2C9"/>
    <w:rsid w:val="070EEA8B"/>
    <w:rsid w:val="07145B97"/>
    <w:rsid w:val="072E454E"/>
    <w:rsid w:val="0739354C"/>
    <w:rsid w:val="07590862"/>
    <w:rsid w:val="0773D6AD"/>
    <w:rsid w:val="077C6711"/>
    <w:rsid w:val="079A865E"/>
    <w:rsid w:val="07A8D2A3"/>
    <w:rsid w:val="07B3575D"/>
    <w:rsid w:val="07B79F37"/>
    <w:rsid w:val="07BD1B22"/>
    <w:rsid w:val="07CFFB55"/>
    <w:rsid w:val="07E11C4A"/>
    <w:rsid w:val="08037809"/>
    <w:rsid w:val="08479DF2"/>
    <w:rsid w:val="08632DCC"/>
    <w:rsid w:val="08870FE9"/>
    <w:rsid w:val="088F129F"/>
    <w:rsid w:val="08A9EA3E"/>
    <w:rsid w:val="08BDD6DF"/>
    <w:rsid w:val="08F725EC"/>
    <w:rsid w:val="090BF8A1"/>
    <w:rsid w:val="091C4333"/>
    <w:rsid w:val="092503FA"/>
    <w:rsid w:val="09321BC3"/>
    <w:rsid w:val="09545D7B"/>
    <w:rsid w:val="09571AE1"/>
    <w:rsid w:val="095C48E1"/>
    <w:rsid w:val="0988DB38"/>
    <w:rsid w:val="09A97786"/>
    <w:rsid w:val="09BECB44"/>
    <w:rsid w:val="09C06EC4"/>
    <w:rsid w:val="09EAB16E"/>
    <w:rsid w:val="09EB5CAA"/>
    <w:rsid w:val="09F0B7B3"/>
    <w:rsid w:val="09FDD9EB"/>
    <w:rsid w:val="0A07E6ED"/>
    <w:rsid w:val="0A0CF8EB"/>
    <w:rsid w:val="0A94281A"/>
    <w:rsid w:val="0A9C2011"/>
    <w:rsid w:val="0AAC50CF"/>
    <w:rsid w:val="0AC75447"/>
    <w:rsid w:val="0AEA4560"/>
    <w:rsid w:val="0AEE9F67"/>
    <w:rsid w:val="0AFAE07C"/>
    <w:rsid w:val="0B04C545"/>
    <w:rsid w:val="0B0DE0D6"/>
    <w:rsid w:val="0B33A079"/>
    <w:rsid w:val="0B5FA859"/>
    <w:rsid w:val="0BDD4ECC"/>
    <w:rsid w:val="0BFD2480"/>
    <w:rsid w:val="0C3E5FA9"/>
    <w:rsid w:val="0C47B79A"/>
    <w:rsid w:val="0C4902D9"/>
    <w:rsid w:val="0C59A49A"/>
    <w:rsid w:val="0C5BD188"/>
    <w:rsid w:val="0C6DC4B0"/>
    <w:rsid w:val="0CA12405"/>
    <w:rsid w:val="0CC936BA"/>
    <w:rsid w:val="0CDB7F9B"/>
    <w:rsid w:val="0CDCACCF"/>
    <w:rsid w:val="0D046F36"/>
    <w:rsid w:val="0D1473AF"/>
    <w:rsid w:val="0D1BA3B0"/>
    <w:rsid w:val="0D2B3601"/>
    <w:rsid w:val="0D39B7E6"/>
    <w:rsid w:val="0D6391D9"/>
    <w:rsid w:val="0D6F2C0B"/>
    <w:rsid w:val="0D7BC6A9"/>
    <w:rsid w:val="0D7D5B61"/>
    <w:rsid w:val="0D94DD3C"/>
    <w:rsid w:val="0D969759"/>
    <w:rsid w:val="0D9A68A8"/>
    <w:rsid w:val="0DADDECE"/>
    <w:rsid w:val="0DC4AB90"/>
    <w:rsid w:val="0DD908D1"/>
    <w:rsid w:val="0DDA6C80"/>
    <w:rsid w:val="0DF92E2C"/>
    <w:rsid w:val="0DFB3545"/>
    <w:rsid w:val="0DFDC700"/>
    <w:rsid w:val="0E037B95"/>
    <w:rsid w:val="0E0A224E"/>
    <w:rsid w:val="0E191E04"/>
    <w:rsid w:val="0E382CB7"/>
    <w:rsid w:val="0E46D889"/>
    <w:rsid w:val="0E4E75D5"/>
    <w:rsid w:val="0E5296FE"/>
    <w:rsid w:val="0E628A94"/>
    <w:rsid w:val="0EA1E3DE"/>
    <w:rsid w:val="0EA233DB"/>
    <w:rsid w:val="0EB5B09C"/>
    <w:rsid w:val="0EC1F156"/>
    <w:rsid w:val="0EC638ED"/>
    <w:rsid w:val="0EC68B0A"/>
    <w:rsid w:val="0ED20E7D"/>
    <w:rsid w:val="0EDB1B8C"/>
    <w:rsid w:val="0F0BB22D"/>
    <w:rsid w:val="0F128E27"/>
    <w:rsid w:val="0F1ABAB8"/>
    <w:rsid w:val="0F23DBB9"/>
    <w:rsid w:val="0F4AF90D"/>
    <w:rsid w:val="0F6A009D"/>
    <w:rsid w:val="0F6FF786"/>
    <w:rsid w:val="0F7D0C74"/>
    <w:rsid w:val="0FC00B25"/>
    <w:rsid w:val="0FC16A51"/>
    <w:rsid w:val="0FCCB5A1"/>
    <w:rsid w:val="0FD0170C"/>
    <w:rsid w:val="0FDEC281"/>
    <w:rsid w:val="0FE3EA45"/>
    <w:rsid w:val="0FF0947C"/>
    <w:rsid w:val="10198A07"/>
    <w:rsid w:val="10402980"/>
    <w:rsid w:val="10713424"/>
    <w:rsid w:val="1078F971"/>
    <w:rsid w:val="10959B17"/>
    <w:rsid w:val="109751C6"/>
    <w:rsid w:val="10A4BE50"/>
    <w:rsid w:val="10B9F01E"/>
    <w:rsid w:val="10DE37C7"/>
    <w:rsid w:val="1115D555"/>
    <w:rsid w:val="111C7156"/>
    <w:rsid w:val="1130DCFB"/>
    <w:rsid w:val="117CCBF6"/>
    <w:rsid w:val="1195E1DA"/>
    <w:rsid w:val="11991B32"/>
    <w:rsid w:val="1215C837"/>
    <w:rsid w:val="12390F50"/>
    <w:rsid w:val="12468560"/>
    <w:rsid w:val="12479463"/>
    <w:rsid w:val="128A482E"/>
    <w:rsid w:val="129FAF9C"/>
    <w:rsid w:val="12C5A43F"/>
    <w:rsid w:val="12F24F12"/>
    <w:rsid w:val="12FE96BF"/>
    <w:rsid w:val="130C6196"/>
    <w:rsid w:val="133B35CB"/>
    <w:rsid w:val="1379F086"/>
    <w:rsid w:val="13B4895F"/>
    <w:rsid w:val="13C727B5"/>
    <w:rsid w:val="13E01342"/>
    <w:rsid w:val="1413E405"/>
    <w:rsid w:val="141BC303"/>
    <w:rsid w:val="1482218E"/>
    <w:rsid w:val="14DE826F"/>
    <w:rsid w:val="14E7B181"/>
    <w:rsid w:val="150E5C12"/>
    <w:rsid w:val="15250E99"/>
    <w:rsid w:val="1526AA44"/>
    <w:rsid w:val="15273DF2"/>
    <w:rsid w:val="1542100F"/>
    <w:rsid w:val="15447972"/>
    <w:rsid w:val="154AA3C2"/>
    <w:rsid w:val="154C70F7"/>
    <w:rsid w:val="154F1A2B"/>
    <w:rsid w:val="157B349B"/>
    <w:rsid w:val="15C93EC0"/>
    <w:rsid w:val="15DFEC50"/>
    <w:rsid w:val="15E98C6C"/>
    <w:rsid w:val="15F570E9"/>
    <w:rsid w:val="15F583E6"/>
    <w:rsid w:val="1616B6DD"/>
    <w:rsid w:val="1617716A"/>
    <w:rsid w:val="161D4789"/>
    <w:rsid w:val="1625E68D"/>
    <w:rsid w:val="16411EF8"/>
    <w:rsid w:val="1647AC60"/>
    <w:rsid w:val="1650DF93"/>
    <w:rsid w:val="16545A9E"/>
    <w:rsid w:val="1659B328"/>
    <w:rsid w:val="16607F5F"/>
    <w:rsid w:val="16D84E16"/>
    <w:rsid w:val="16FDD965"/>
    <w:rsid w:val="17089BBF"/>
    <w:rsid w:val="170AE35E"/>
    <w:rsid w:val="17185465"/>
    <w:rsid w:val="1719D479"/>
    <w:rsid w:val="172528B3"/>
    <w:rsid w:val="1726BC4A"/>
    <w:rsid w:val="173ABC63"/>
    <w:rsid w:val="17A28FC2"/>
    <w:rsid w:val="17AE23E7"/>
    <w:rsid w:val="17C32B67"/>
    <w:rsid w:val="17C6015D"/>
    <w:rsid w:val="17DAA211"/>
    <w:rsid w:val="182EF4F7"/>
    <w:rsid w:val="18316775"/>
    <w:rsid w:val="184E4FBD"/>
    <w:rsid w:val="18608583"/>
    <w:rsid w:val="18A46C20"/>
    <w:rsid w:val="18B8B8DF"/>
    <w:rsid w:val="18BFDC1C"/>
    <w:rsid w:val="18C45D5C"/>
    <w:rsid w:val="18C8BB04"/>
    <w:rsid w:val="18CE587C"/>
    <w:rsid w:val="18F84CF2"/>
    <w:rsid w:val="190122EE"/>
    <w:rsid w:val="191875D3"/>
    <w:rsid w:val="1952A09A"/>
    <w:rsid w:val="195C5259"/>
    <w:rsid w:val="196D1489"/>
    <w:rsid w:val="1987A7B4"/>
    <w:rsid w:val="19956C8C"/>
    <w:rsid w:val="19BE634E"/>
    <w:rsid w:val="19DFAE0A"/>
    <w:rsid w:val="19E95365"/>
    <w:rsid w:val="19EA7963"/>
    <w:rsid w:val="19F6FD4F"/>
    <w:rsid w:val="1A27085C"/>
    <w:rsid w:val="1A3C2B42"/>
    <w:rsid w:val="1A62E664"/>
    <w:rsid w:val="1A6D995E"/>
    <w:rsid w:val="1A7C9BD7"/>
    <w:rsid w:val="1B015CAE"/>
    <w:rsid w:val="1B1891F0"/>
    <w:rsid w:val="1B23E0F2"/>
    <w:rsid w:val="1B7F30DE"/>
    <w:rsid w:val="1B835BE2"/>
    <w:rsid w:val="1B9B3F89"/>
    <w:rsid w:val="1B9F0CDB"/>
    <w:rsid w:val="1BDEE161"/>
    <w:rsid w:val="1C353C9D"/>
    <w:rsid w:val="1C98B1D7"/>
    <w:rsid w:val="1C9EACB8"/>
    <w:rsid w:val="1CBDA619"/>
    <w:rsid w:val="1CC5C94E"/>
    <w:rsid w:val="1CDDECE8"/>
    <w:rsid w:val="1CE2D167"/>
    <w:rsid w:val="1D0CDF1C"/>
    <w:rsid w:val="1D24095D"/>
    <w:rsid w:val="1D2D669D"/>
    <w:rsid w:val="1D6DF87A"/>
    <w:rsid w:val="1D850B2A"/>
    <w:rsid w:val="1D967174"/>
    <w:rsid w:val="1DA4B142"/>
    <w:rsid w:val="1DC43E2E"/>
    <w:rsid w:val="1E00F9DC"/>
    <w:rsid w:val="1E155873"/>
    <w:rsid w:val="1E648EF1"/>
    <w:rsid w:val="1E971365"/>
    <w:rsid w:val="1EA0D9A4"/>
    <w:rsid w:val="1ECA6ADB"/>
    <w:rsid w:val="1EF3EEEA"/>
    <w:rsid w:val="1EF67408"/>
    <w:rsid w:val="1EFB6532"/>
    <w:rsid w:val="1F002B74"/>
    <w:rsid w:val="1F056825"/>
    <w:rsid w:val="1F29C0CB"/>
    <w:rsid w:val="1F2F4F8C"/>
    <w:rsid w:val="1F615539"/>
    <w:rsid w:val="1F6653F8"/>
    <w:rsid w:val="1F66B83C"/>
    <w:rsid w:val="1F834530"/>
    <w:rsid w:val="1F951A5B"/>
    <w:rsid w:val="1FB46CEC"/>
    <w:rsid w:val="1FBDCAEE"/>
    <w:rsid w:val="1FE00C74"/>
    <w:rsid w:val="205FBAA3"/>
    <w:rsid w:val="2076E74A"/>
    <w:rsid w:val="20806DD3"/>
    <w:rsid w:val="209539C1"/>
    <w:rsid w:val="20ECAFA7"/>
    <w:rsid w:val="212AB1F7"/>
    <w:rsid w:val="2179EBDB"/>
    <w:rsid w:val="21883255"/>
    <w:rsid w:val="2199B82C"/>
    <w:rsid w:val="21AB835F"/>
    <w:rsid w:val="21E9DD76"/>
    <w:rsid w:val="21F21DAB"/>
    <w:rsid w:val="222F50B0"/>
    <w:rsid w:val="224156FE"/>
    <w:rsid w:val="225F692B"/>
    <w:rsid w:val="226884CA"/>
    <w:rsid w:val="22907A13"/>
    <w:rsid w:val="22ABA567"/>
    <w:rsid w:val="22B7216C"/>
    <w:rsid w:val="22D8B8AE"/>
    <w:rsid w:val="22E9AB87"/>
    <w:rsid w:val="230BD773"/>
    <w:rsid w:val="23289CBE"/>
    <w:rsid w:val="233AA1D8"/>
    <w:rsid w:val="2346BD43"/>
    <w:rsid w:val="237E308B"/>
    <w:rsid w:val="239F619D"/>
    <w:rsid w:val="23B40F70"/>
    <w:rsid w:val="23B5B2CB"/>
    <w:rsid w:val="23C9E52B"/>
    <w:rsid w:val="23D195F5"/>
    <w:rsid w:val="240F38FF"/>
    <w:rsid w:val="242CAECB"/>
    <w:rsid w:val="24505C64"/>
    <w:rsid w:val="24685CB1"/>
    <w:rsid w:val="24692A07"/>
    <w:rsid w:val="249BA57C"/>
    <w:rsid w:val="24A43145"/>
    <w:rsid w:val="24A507C5"/>
    <w:rsid w:val="24AF9FAA"/>
    <w:rsid w:val="24B89DE2"/>
    <w:rsid w:val="24C001CB"/>
    <w:rsid w:val="24CDFE1E"/>
    <w:rsid w:val="24EEDF18"/>
    <w:rsid w:val="24F9F070"/>
    <w:rsid w:val="24FBE487"/>
    <w:rsid w:val="25276643"/>
    <w:rsid w:val="2538BDDE"/>
    <w:rsid w:val="2543FA00"/>
    <w:rsid w:val="2562BBE4"/>
    <w:rsid w:val="256397B8"/>
    <w:rsid w:val="259135A2"/>
    <w:rsid w:val="25A11533"/>
    <w:rsid w:val="25C03FC1"/>
    <w:rsid w:val="25F6D3B2"/>
    <w:rsid w:val="25F9F0F9"/>
    <w:rsid w:val="261A45D7"/>
    <w:rsid w:val="262AE9AB"/>
    <w:rsid w:val="263EE459"/>
    <w:rsid w:val="26A2F847"/>
    <w:rsid w:val="26AF3390"/>
    <w:rsid w:val="26BFB711"/>
    <w:rsid w:val="26C55165"/>
    <w:rsid w:val="26C67681"/>
    <w:rsid w:val="26E328DE"/>
    <w:rsid w:val="270E4EFB"/>
    <w:rsid w:val="274B7254"/>
    <w:rsid w:val="27543B47"/>
    <w:rsid w:val="279BE3C2"/>
    <w:rsid w:val="27A36D22"/>
    <w:rsid w:val="27B7FFAA"/>
    <w:rsid w:val="27B90796"/>
    <w:rsid w:val="27BE2086"/>
    <w:rsid w:val="27C2624E"/>
    <w:rsid w:val="27DB84D8"/>
    <w:rsid w:val="27E6802F"/>
    <w:rsid w:val="2804BE34"/>
    <w:rsid w:val="281F7677"/>
    <w:rsid w:val="282D06C6"/>
    <w:rsid w:val="282E2464"/>
    <w:rsid w:val="285D7FC6"/>
    <w:rsid w:val="286B9359"/>
    <w:rsid w:val="286BB432"/>
    <w:rsid w:val="28792D8E"/>
    <w:rsid w:val="28A69E47"/>
    <w:rsid w:val="28B1C7E9"/>
    <w:rsid w:val="28B49C29"/>
    <w:rsid w:val="28DC2C80"/>
    <w:rsid w:val="28E3E53E"/>
    <w:rsid w:val="2987A81C"/>
    <w:rsid w:val="29908955"/>
    <w:rsid w:val="29911941"/>
    <w:rsid w:val="29A751D4"/>
    <w:rsid w:val="29C96B5C"/>
    <w:rsid w:val="29D0E616"/>
    <w:rsid w:val="29E166B7"/>
    <w:rsid w:val="29F83119"/>
    <w:rsid w:val="2A00FDB7"/>
    <w:rsid w:val="2A0BE317"/>
    <w:rsid w:val="2A214C8F"/>
    <w:rsid w:val="2A2FA675"/>
    <w:rsid w:val="2A3723EA"/>
    <w:rsid w:val="2A66E36A"/>
    <w:rsid w:val="2A8401A4"/>
    <w:rsid w:val="2A9E8289"/>
    <w:rsid w:val="2A9FE5CC"/>
    <w:rsid w:val="2AB1D9A0"/>
    <w:rsid w:val="2AD7CA26"/>
    <w:rsid w:val="2B09F8FF"/>
    <w:rsid w:val="2B353BB9"/>
    <w:rsid w:val="2B4C9CC9"/>
    <w:rsid w:val="2B8550E4"/>
    <w:rsid w:val="2BA1C5B3"/>
    <w:rsid w:val="2BD56030"/>
    <w:rsid w:val="2BEA3994"/>
    <w:rsid w:val="2C293AA9"/>
    <w:rsid w:val="2C42103D"/>
    <w:rsid w:val="2C60DD2C"/>
    <w:rsid w:val="2C776625"/>
    <w:rsid w:val="2CBCA166"/>
    <w:rsid w:val="2CC2C5A0"/>
    <w:rsid w:val="2CDAF1DE"/>
    <w:rsid w:val="2D0C52AC"/>
    <w:rsid w:val="2D32B845"/>
    <w:rsid w:val="2D4A0738"/>
    <w:rsid w:val="2D6FFE0D"/>
    <w:rsid w:val="2D8C249F"/>
    <w:rsid w:val="2DA23A2A"/>
    <w:rsid w:val="2DB69051"/>
    <w:rsid w:val="2DDA8C3F"/>
    <w:rsid w:val="2E06B6BC"/>
    <w:rsid w:val="2E18658A"/>
    <w:rsid w:val="2E2EA1AB"/>
    <w:rsid w:val="2E429006"/>
    <w:rsid w:val="2EB2DDE9"/>
    <w:rsid w:val="2EDE3728"/>
    <w:rsid w:val="2EE1A72B"/>
    <w:rsid w:val="2EE6C0E3"/>
    <w:rsid w:val="2EEB2DD8"/>
    <w:rsid w:val="2F01F319"/>
    <w:rsid w:val="2F3D3613"/>
    <w:rsid w:val="2F3D42E7"/>
    <w:rsid w:val="2F5ED1C8"/>
    <w:rsid w:val="2F6D085A"/>
    <w:rsid w:val="2F86C2A4"/>
    <w:rsid w:val="2F88F771"/>
    <w:rsid w:val="2FA3472C"/>
    <w:rsid w:val="2FC1A11F"/>
    <w:rsid w:val="2FC25406"/>
    <w:rsid w:val="2FC912C2"/>
    <w:rsid w:val="2FFB9135"/>
    <w:rsid w:val="300777C4"/>
    <w:rsid w:val="303E5A35"/>
    <w:rsid w:val="30546A1D"/>
    <w:rsid w:val="306E85E2"/>
    <w:rsid w:val="307D3C99"/>
    <w:rsid w:val="30A8634B"/>
    <w:rsid w:val="30AE5DFA"/>
    <w:rsid w:val="30BC8FB4"/>
    <w:rsid w:val="30D0DBD0"/>
    <w:rsid w:val="30D2E333"/>
    <w:rsid w:val="30D53872"/>
    <w:rsid w:val="30FB484E"/>
    <w:rsid w:val="313E0CD5"/>
    <w:rsid w:val="3165B6DC"/>
    <w:rsid w:val="31745808"/>
    <w:rsid w:val="318C73BA"/>
    <w:rsid w:val="3196FA1B"/>
    <w:rsid w:val="31CE0AB7"/>
    <w:rsid w:val="31D43CF1"/>
    <w:rsid w:val="31E76E11"/>
    <w:rsid w:val="31EB6641"/>
    <w:rsid w:val="31FB6754"/>
    <w:rsid w:val="32219543"/>
    <w:rsid w:val="32260784"/>
    <w:rsid w:val="3228A8A4"/>
    <w:rsid w:val="32308F46"/>
    <w:rsid w:val="3244494E"/>
    <w:rsid w:val="324B01AE"/>
    <w:rsid w:val="32AE8722"/>
    <w:rsid w:val="32B0A989"/>
    <w:rsid w:val="32EC528B"/>
    <w:rsid w:val="3302C2E6"/>
    <w:rsid w:val="330D1236"/>
    <w:rsid w:val="33156933"/>
    <w:rsid w:val="33212ABA"/>
    <w:rsid w:val="3324650E"/>
    <w:rsid w:val="33435983"/>
    <w:rsid w:val="335537AB"/>
    <w:rsid w:val="335C95A3"/>
    <w:rsid w:val="33616286"/>
    <w:rsid w:val="33AA7B0F"/>
    <w:rsid w:val="33B04F75"/>
    <w:rsid w:val="33B67BE4"/>
    <w:rsid w:val="33CD62AA"/>
    <w:rsid w:val="33D3B895"/>
    <w:rsid w:val="33F2D5FB"/>
    <w:rsid w:val="33F33CEF"/>
    <w:rsid w:val="348194B9"/>
    <w:rsid w:val="34881748"/>
    <w:rsid w:val="3489DCB5"/>
    <w:rsid w:val="34A87BF8"/>
    <w:rsid w:val="34BD4CFF"/>
    <w:rsid w:val="34C16113"/>
    <w:rsid w:val="34F46A1B"/>
    <w:rsid w:val="350984AF"/>
    <w:rsid w:val="353C6A43"/>
    <w:rsid w:val="35436C09"/>
    <w:rsid w:val="355159CA"/>
    <w:rsid w:val="355702E2"/>
    <w:rsid w:val="35580D7A"/>
    <w:rsid w:val="35944CC4"/>
    <w:rsid w:val="35BB6162"/>
    <w:rsid w:val="35BE56BA"/>
    <w:rsid w:val="35D6745F"/>
    <w:rsid w:val="35EC6CEB"/>
    <w:rsid w:val="35FEF78B"/>
    <w:rsid w:val="35FF05F1"/>
    <w:rsid w:val="36349B83"/>
    <w:rsid w:val="366FCF04"/>
    <w:rsid w:val="368D5530"/>
    <w:rsid w:val="36A2580F"/>
    <w:rsid w:val="36AA41AB"/>
    <w:rsid w:val="36C7D846"/>
    <w:rsid w:val="36F44E15"/>
    <w:rsid w:val="36FC0506"/>
    <w:rsid w:val="3731006E"/>
    <w:rsid w:val="3740A82B"/>
    <w:rsid w:val="3740D071"/>
    <w:rsid w:val="37463BB5"/>
    <w:rsid w:val="3779BDFD"/>
    <w:rsid w:val="377B5BCA"/>
    <w:rsid w:val="378DADCB"/>
    <w:rsid w:val="37A18587"/>
    <w:rsid w:val="37B55675"/>
    <w:rsid w:val="37D62DB3"/>
    <w:rsid w:val="37DA58A1"/>
    <w:rsid w:val="37E2C4D2"/>
    <w:rsid w:val="37E59F3C"/>
    <w:rsid w:val="37E5A362"/>
    <w:rsid w:val="37E8DA56"/>
    <w:rsid w:val="38036795"/>
    <w:rsid w:val="38301F5F"/>
    <w:rsid w:val="3835243D"/>
    <w:rsid w:val="383C1670"/>
    <w:rsid w:val="3853705A"/>
    <w:rsid w:val="385DFF17"/>
    <w:rsid w:val="389E2E0F"/>
    <w:rsid w:val="38A6D81C"/>
    <w:rsid w:val="38B3ECDD"/>
    <w:rsid w:val="38B4771C"/>
    <w:rsid w:val="38F9D6A0"/>
    <w:rsid w:val="391243B8"/>
    <w:rsid w:val="394653C1"/>
    <w:rsid w:val="39562D68"/>
    <w:rsid w:val="39635866"/>
    <w:rsid w:val="39652137"/>
    <w:rsid w:val="396F32A3"/>
    <w:rsid w:val="39714E1A"/>
    <w:rsid w:val="397DAF32"/>
    <w:rsid w:val="39AB67E8"/>
    <w:rsid w:val="39D11349"/>
    <w:rsid w:val="39D888E3"/>
    <w:rsid w:val="3A140DF1"/>
    <w:rsid w:val="3A339361"/>
    <w:rsid w:val="3A77D632"/>
    <w:rsid w:val="3A924914"/>
    <w:rsid w:val="3A9338C2"/>
    <w:rsid w:val="3AEF3970"/>
    <w:rsid w:val="3B0D1E7B"/>
    <w:rsid w:val="3B2456D0"/>
    <w:rsid w:val="3B5267D4"/>
    <w:rsid w:val="3B617F3E"/>
    <w:rsid w:val="3B6A5EA2"/>
    <w:rsid w:val="3B821355"/>
    <w:rsid w:val="3BA169B8"/>
    <w:rsid w:val="3BECC75F"/>
    <w:rsid w:val="3BFC5FE0"/>
    <w:rsid w:val="3C201E59"/>
    <w:rsid w:val="3C29B8BF"/>
    <w:rsid w:val="3C9E6D03"/>
    <w:rsid w:val="3CA41F3B"/>
    <w:rsid w:val="3CA5ED49"/>
    <w:rsid w:val="3CE3AE04"/>
    <w:rsid w:val="3D002570"/>
    <w:rsid w:val="3D06B050"/>
    <w:rsid w:val="3D1B161E"/>
    <w:rsid w:val="3D26BA21"/>
    <w:rsid w:val="3D3CCA32"/>
    <w:rsid w:val="3D4DD333"/>
    <w:rsid w:val="3D506D81"/>
    <w:rsid w:val="3D513C3E"/>
    <w:rsid w:val="3D5BE973"/>
    <w:rsid w:val="3D745F78"/>
    <w:rsid w:val="3D791BC8"/>
    <w:rsid w:val="3D834269"/>
    <w:rsid w:val="3DB16197"/>
    <w:rsid w:val="3DB51F25"/>
    <w:rsid w:val="3DCCAC5D"/>
    <w:rsid w:val="3DEA6017"/>
    <w:rsid w:val="3DEC8D77"/>
    <w:rsid w:val="3DF2A688"/>
    <w:rsid w:val="3DF53731"/>
    <w:rsid w:val="3E07B8B8"/>
    <w:rsid w:val="3E22797C"/>
    <w:rsid w:val="3E2E2B28"/>
    <w:rsid w:val="3E3B1601"/>
    <w:rsid w:val="3E3F264E"/>
    <w:rsid w:val="3E735E29"/>
    <w:rsid w:val="3E889DA9"/>
    <w:rsid w:val="3E9230E6"/>
    <w:rsid w:val="3E981A11"/>
    <w:rsid w:val="3EC02365"/>
    <w:rsid w:val="3EEBF86C"/>
    <w:rsid w:val="3F135B89"/>
    <w:rsid w:val="3F52C007"/>
    <w:rsid w:val="3F81E588"/>
    <w:rsid w:val="3F89F25E"/>
    <w:rsid w:val="3FB5C265"/>
    <w:rsid w:val="3FCF7FAD"/>
    <w:rsid w:val="3FCF9ECC"/>
    <w:rsid w:val="3FE357DA"/>
    <w:rsid w:val="3FF2A9F0"/>
    <w:rsid w:val="40225EF9"/>
    <w:rsid w:val="40450F92"/>
    <w:rsid w:val="406C1BC9"/>
    <w:rsid w:val="40707EDE"/>
    <w:rsid w:val="4078D225"/>
    <w:rsid w:val="40828C7C"/>
    <w:rsid w:val="4084E40B"/>
    <w:rsid w:val="40C5AF24"/>
    <w:rsid w:val="4129938A"/>
    <w:rsid w:val="4139CEA4"/>
    <w:rsid w:val="41448662"/>
    <w:rsid w:val="415D4C1A"/>
    <w:rsid w:val="4165BE0F"/>
    <w:rsid w:val="41C31A82"/>
    <w:rsid w:val="41DDFD72"/>
    <w:rsid w:val="41E7A14B"/>
    <w:rsid w:val="41F7A4D0"/>
    <w:rsid w:val="41FAFB10"/>
    <w:rsid w:val="42002F6E"/>
    <w:rsid w:val="421D638E"/>
    <w:rsid w:val="4223103E"/>
    <w:rsid w:val="424B80FE"/>
    <w:rsid w:val="425ECD5A"/>
    <w:rsid w:val="427DDC1D"/>
    <w:rsid w:val="428CB10C"/>
    <w:rsid w:val="42CA41CF"/>
    <w:rsid w:val="42D3CA99"/>
    <w:rsid w:val="42EDEB21"/>
    <w:rsid w:val="42EFA83B"/>
    <w:rsid w:val="4316B7BF"/>
    <w:rsid w:val="43198EF5"/>
    <w:rsid w:val="4339C55C"/>
    <w:rsid w:val="4357E86D"/>
    <w:rsid w:val="4378A033"/>
    <w:rsid w:val="4384B818"/>
    <w:rsid w:val="43DE9F5E"/>
    <w:rsid w:val="43DFF61F"/>
    <w:rsid w:val="43EBFABD"/>
    <w:rsid w:val="442BD0AD"/>
    <w:rsid w:val="442E221A"/>
    <w:rsid w:val="44877079"/>
    <w:rsid w:val="44A754BE"/>
    <w:rsid w:val="44CDC860"/>
    <w:rsid w:val="44D6C40E"/>
    <w:rsid w:val="44E8AE21"/>
    <w:rsid w:val="44F7C8C0"/>
    <w:rsid w:val="451BE54C"/>
    <w:rsid w:val="451E5108"/>
    <w:rsid w:val="4528415E"/>
    <w:rsid w:val="453C8641"/>
    <w:rsid w:val="4551580D"/>
    <w:rsid w:val="4556F83D"/>
    <w:rsid w:val="4598EA30"/>
    <w:rsid w:val="45CA63F2"/>
    <w:rsid w:val="45DB2D87"/>
    <w:rsid w:val="45ED47D7"/>
    <w:rsid w:val="4625075B"/>
    <w:rsid w:val="46289D0C"/>
    <w:rsid w:val="4643BE66"/>
    <w:rsid w:val="4658BE53"/>
    <w:rsid w:val="46672B3D"/>
    <w:rsid w:val="4680B5D7"/>
    <w:rsid w:val="46A34910"/>
    <w:rsid w:val="46D2D62B"/>
    <w:rsid w:val="46D8DF7D"/>
    <w:rsid w:val="46D90595"/>
    <w:rsid w:val="46E0DA2C"/>
    <w:rsid w:val="46EEF302"/>
    <w:rsid w:val="46FAF1E9"/>
    <w:rsid w:val="46FCF8CF"/>
    <w:rsid w:val="4704A10C"/>
    <w:rsid w:val="47198C4F"/>
    <w:rsid w:val="47258D88"/>
    <w:rsid w:val="47525FBA"/>
    <w:rsid w:val="475E6255"/>
    <w:rsid w:val="4769C282"/>
    <w:rsid w:val="4794AB41"/>
    <w:rsid w:val="47A57336"/>
    <w:rsid w:val="47ACACB2"/>
    <w:rsid w:val="47D82213"/>
    <w:rsid w:val="47E05387"/>
    <w:rsid w:val="47EDD31E"/>
    <w:rsid w:val="480C00B2"/>
    <w:rsid w:val="4812AA33"/>
    <w:rsid w:val="4817E299"/>
    <w:rsid w:val="48307A5C"/>
    <w:rsid w:val="48345CF5"/>
    <w:rsid w:val="48631F05"/>
    <w:rsid w:val="4892DF18"/>
    <w:rsid w:val="48BE5EA9"/>
    <w:rsid w:val="48C7AC09"/>
    <w:rsid w:val="48D4B123"/>
    <w:rsid w:val="49393BD3"/>
    <w:rsid w:val="494263D7"/>
    <w:rsid w:val="49489996"/>
    <w:rsid w:val="4959EBDA"/>
    <w:rsid w:val="4966491B"/>
    <w:rsid w:val="499D776B"/>
    <w:rsid w:val="49A6319B"/>
    <w:rsid w:val="49B6B13C"/>
    <w:rsid w:val="49BAEB4E"/>
    <w:rsid w:val="49C1A6B4"/>
    <w:rsid w:val="49DA908F"/>
    <w:rsid w:val="4A225E7F"/>
    <w:rsid w:val="4A3142B8"/>
    <w:rsid w:val="4A3BA90E"/>
    <w:rsid w:val="4A657E43"/>
    <w:rsid w:val="4A757B0F"/>
    <w:rsid w:val="4A7C9E4C"/>
    <w:rsid w:val="4A9326DF"/>
    <w:rsid w:val="4A9CACC9"/>
    <w:rsid w:val="4AD0901A"/>
    <w:rsid w:val="4AD9C478"/>
    <w:rsid w:val="4B05A67C"/>
    <w:rsid w:val="4B18FE55"/>
    <w:rsid w:val="4B1CAFC5"/>
    <w:rsid w:val="4B27739B"/>
    <w:rsid w:val="4B3EBE3E"/>
    <w:rsid w:val="4B60BEE9"/>
    <w:rsid w:val="4B72FA40"/>
    <w:rsid w:val="4B830774"/>
    <w:rsid w:val="4BC1A56F"/>
    <w:rsid w:val="4BE6A4DC"/>
    <w:rsid w:val="4BED0F70"/>
    <w:rsid w:val="4C09F562"/>
    <w:rsid w:val="4C223242"/>
    <w:rsid w:val="4C53A3C5"/>
    <w:rsid w:val="4C590263"/>
    <w:rsid w:val="4C7BD857"/>
    <w:rsid w:val="4C97A1E6"/>
    <w:rsid w:val="4C9CAEBE"/>
    <w:rsid w:val="4CAB6769"/>
    <w:rsid w:val="4CC18338"/>
    <w:rsid w:val="4CD5E18A"/>
    <w:rsid w:val="4CEC94B6"/>
    <w:rsid w:val="4D29D14F"/>
    <w:rsid w:val="4D30DCF5"/>
    <w:rsid w:val="4D6245D2"/>
    <w:rsid w:val="4D66885C"/>
    <w:rsid w:val="4D814D3F"/>
    <w:rsid w:val="4D8441BC"/>
    <w:rsid w:val="4D87D925"/>
    <w:rsid w:val="4D8B375C"/>
    <w:rsid w:val="4D8F041A"/>
    <w:rsid w:val="4D9ADD46"/>
    <w:rsid w:val="4DA897EA"/>
    <w:rsid w:val="4DAC1FB2"/>
    <w:rsid w:val="4DE7B830"/>
    <w:rsid w:val="4DEBBC98"/>
    <w:rsid w:val="4E03A3CD"/>
    <w:rsid w:val="4E0A50C7"/>
    <w:rsid w:val="4E182A84"/>
    <w:rsid w:val="4E1985AE"/>
    <w:rsid w:val="4E1E78CA"/>
    <w:rsid w:val="4E2782DF"/>
    <w:rsid w:val="4E54D20F"/>
    <w:rsid w:val="4E55B038"/>
    <w:rsid w:val="4E5AE3BD"/>
    <w:rsid w:val="4E7466C2"/>
    <w:rsid w:val="4EB7996E"/>
    <w:rsid w:val="4ECE7B3A"/>
    <w:rsid w:val="4F104EF6"/>
    <w:rsid w:val="4F11718A"/>
    <w:rsid w:val="4F1D4F76"/>
    <w:rsid w:val="4F225429"/>
    <w:rsid w:val="4F28A193"/>
    <w:rsid w:val="4F2DEF07"/>
    <w:rsid w:val="4F376869"/>
    <w:rsid w:val="4F3EDA10"/>
    <w:rsid w:val="4F7160E8"/>
    <w:rsid w:val="4F7BC934"/>
    <w:rsid w:val="4F93C7F4"/>
    <w:rsid w:val="4FADC919"/>
    <w:rsid w:val="4FD2EB06"/>
    <w:rsid w:val="50099FCB"/>
    <w:rsid w:val="500CF680"/>
    <w:rsid w:val="503D00C7"/>
    <w:rsid w:val="5061DE19"/>
    <w:rsid w:val="507ADD08"/>
    <w:rsid w:val="507F432E"/>
    <w:rsid w:val="5086D018"/>
    <w:rsid w:val="508B3AD0"/>
    <w:rsid w:val="509B4525"/>
    <w:rsid w:val="50AD41EB"/>
    <w:rsid w:val="50B5BF87"/>
    <w:rsid w:val="50D579FA"/>
    <w:rsid w:val="50F206EE"/>
    <w:rsid w:val="51296469"/>
    <w:rsid w:val="5157F2B2"/>
    <w:rsid w:val="5195C218"/>
    <w:rsid w:val="51B4B2C5"/>
    <w:rsid w:val="51C6D7CC"/>
    <w:rsid w:val="51F3CA6E"/>
    <w:rsid w:val="51F52FF8"/>
    <w:rsid w:val="52166A3C"/>
    <w:rsid w:val="5239CF9D"/>
    <w:rsid w:val="524F4FAD"/>
    <w:rsid w:val="5252E025"/>
    <w:rsid w:val="525CC098"/>
    <w:rsid w:val="52728901"/>
    <w:rsid w:val="5276C581"/>
    <w:rsid w:val="52E6DC6A"/>
    <w:rsid w:val="53101F82"/>
    <w:rsid w:val="534B4201"/>
    <w:rsid w:val="534E5300"/>
    <w:rsid w:val="535093A2"/>
    <w:rsid w:val="535AC281"/>
    <w:rsid w:val="53971091"/>
    <w:rsid w:val="539A0F8B"/>
    <w:rsid w:val="54195FC9"/>
    <w:rsid w:val="5430C23E"/>
    <w:rsid w:val="54370686"/>
    <w:rsid w:val="5439B397"/>
    <w:rsid w:val="543DE271"/>
    <w:rsid w:val="544E3553"/>
    <w:rsid w:val="5454F561"/>
    <w:rsid w:val="5456AA3C"/>
    <w:rsid w:val="54714113"/>
    <w:rsid w:val="547CA0B2"/>
    <w:rsid w:val="54876C08"/>
    <w:rsid w:val="54AB9D70"/>
    <w:rsid w:val="54ADD38E"/>
    <w:rsid w:val="54B790A2"/>
    <w:rsid w:val="54C9CD7F"/>
    <w:rsid w:val="54D2D451"/>
    <w:rsid w:val="5508911B"/>
    <w:rsid w:val="55306013"/>
    <w:rsid w:val="5538D865"/>
    <w:rsid w:val="554AAF41"/>
    <w:rsid w:val="554DC129"/>
    <w:rsid w:val="556B997E"/>
    <w:rsid w:val="557000B3"/>
    <w:rsid w:val="557ABEC1"/>
    <w:rsid w:val="557CF452"/>
    <w:rsid w:val="557ED312"/>
    <w:rsid w:val="5583E953"/>
    <w:rsid w:val="55AE84E6"/>
    <w:rsid w:val="55B7BDC2"/>
    <w:rsid w:val="55CA2686"/>
    <w:rsid w:val="55CBF6B4"/>
    <w:rsid w:val="55D4DA88"/>
    <w:rsid w:val="55D81D08"/>
    <w:rsid w:val="5608CDAD"/>
    <w:rsid w:val="5609BABE"/>
    <w:rsid w:val="560A3C2F"/>
    <w:rsid w:val="56362D4A"/>
    <w:rsid w:val="56382C39"/>
    <w:rsid w:val="56742083"/>
    <w:rsid w:val="56747601"/>
    <w:rsid w:val="56769445"/>
    <w:rsid w:val="567D7F6E"/>
    <w:rsid w:val="56965705"/>
    <w:rsid w:val="56A5201B"/>
    <w:rsid w:val="56B4ABC1"/>
    <w:rsid w:val="56B7C0D4"/>
    <w:rsid w:val="56DEC7FC"/>
    <w:rsid w:val="56E6336E"/>
    <w:rsid w:val="5758994F"/>
    <w:rsid w:val="577B3A1D"/>
    <w:rsid w:val="57F08A76"/>
    <w:rsid w:val="57F37697"/>
    <w:rsid w:val="5803A435"/>
    <w:rsid w:val="58098181"/>
    <w:rsid w:val="581308D3"/>
    <w:rsid w:val="5837BE88"/>
    <w:rsid w:val="58390F3B"/>
    <w:rsid w:val="5841FE93"/>
    <w:rsid w:val="586B7040"/>
    <w:rsid w:val="58738504"/>
    <w:rsid w:val="5874BA6F"/>
    <w:rsid w:val="5889F48D"/>
    <w:rsid w:val="588EC059"/>
    <w:rsid w:val="58F6F13F"/>
    <w:rsid w:val="591F6649"/>
    <w:rsid w:val="5951D6E0"/>
    <w:rsid w:val="59563BEF"/>
    <w:rsid w:val="59595FCA"/>
    <w:rsid w:val="595A77A5"/>
    <w:rsid w:val="596C4A12"/>
    <w:rsid w:val="59748204"/>
    <w:rsid w:val="59759909"/>
    <w:rsid w:val="59939251"/>
    <w:rsid w:val="599A28A9"/>
    <w:rsid w:val="59BEB52E"/>
    <w:rsid w:val="59C383A6"/>
    <w:rsid w:val="59C6E284"/>
    <w:rsid w:val="59E0CEE4"/>
    <w:rsid w:val="5A082DBF"/>
    <w:rsid w:val="5A0B2D52"/>
    <w:rsid w:val="5A78CF86"/>
    <w:rsid w:val="5A8FFB72"/>
    <w:rsid w:val="5AD2CB6F"/>
    <w:rsid w:val="5AE2BA83"/>
    <w:rsid w:val="5AE88001"/>
    <w:rsid w:val="5B0C0B9A"/>
    <w:rsid w:val="5B2694BD"/>
    <w:rsid w:val="5B2721D5"/>
    <w:rsid w:val="5B44F1CC"/>
    <w:rsid w:val="5B6A2FE3"/>
    <w:rsid w:val="5B7E164C"/>
    <w:rsid w:val="5BDE927D"/>
    <w:rsid w:val="5BE32509"/>
    <w:rsid w:val="5BEAF935"/>
    <w:rsid w:val="5C016B8E"/>
    <w:rsid w:val="5C1A5BCD"/>
    <w:rsid w:val="5C299A49"/>
    <w:rsid w:val="5C2A7122"/>
    <w:rsid w:val="5C55BC85"/>
    <w:rsid w:val="5C66DB71"/>
    <w:rsid w:val="5CA5022A"/>
    <w:rsid w:val="5D34D974"/>
    <w:rsid w:val="5D43E43F"/>
    <w:rsid w:val="5D5AAE72"/>
    <w:rsid w:val="5D90BD21"/>
    <w:rsid w:val="5D99CF71"/>
    <w:rsid w:val="5DF68DBF"/>
    <w:rsid w:val="5DFC25DA"/>
    <w:rsid w:val="5E19263F"/>
    <w:rsid w:val="5E6BE481"/>
    <w:rsid w:val="5EBC3F50"/>
    <w:rsid w:val="5EC346C3"/>
    <w:rsid w:val="5EE530E9"/>
    <w:rsid w:val="5EE7DB15"/>
    <w:rsid w:val="5EF3268B"/>
    <w:rsid w:val="5F2B3A92"/>
    <w:rsid w:val="5F3733AA"/>
    <w:rsid w:val="5F3A5E13"/>
    <w:rsid w:val="5F489A13"/>
    <w:rsid w:val="5F5C99A1"/>
    <w:rsid w:val="5F6022E4"/>
    <w:rsid w:val="5F643AFB"/>
    <w:rsid w:val="5F6EE828"/>
    <w:rsid w:val="5F790392"/>
    <w:rsid w:val="5F8B7606"/>
    <w:rsid w:val="5FA31147"/>
    <w:rsid w:val="5FB61286"/>
    <w:rsid w:val="5FC734EA"/>
    <w:rsid w:val="5FD50B1E"/>
    <w:rsid w:val="5FFBAFDF"/>
    <w:rsid w:val="5FFF00F2"/>
    <w:rsid w:val="600BD864"/>
    <w:rsid w:val="600BD905"/>
    <w:rsid w:val="601B84AA"/>
    <w:rsid w:val="60354521"/>
    <w:rsid w:val="603A94B9"/>
    <w:rsid w:val="606A8558"/>
    <w:rsid w:val="606B4B12"/>
    <w:rsid w:val="606F7FC1"/>
    <w:rsid w:val="606FCF97"/>
    <w:rsid w:val="6077782C"/>
    <w:rsid w:val="60A76909"/>
    <w:rsid w:val="60AFC74F"/>
    <w:rsid w:val="60BABD24"/>
    <w:rsid w:val="60CCF16A"/>
    <w:rsid w:val="60F5A5C1"/>
    <w:rsid w:val="60FBBAAB"/>
    <w:rsid w:val="6119A854"/>
    <w:rsid w:val="612580FA"/>
    <w:rsid w:val="6125A838"/>
    <w:rsid w:val="615315F4"/>
    <w:rsid w:val="616E151A"/>
    <w:rsid w:val="617C04DE"/>
    <w:rsid w:val="61851915"/>
    <w:rsid w:val="6190B6D5"/>
    <w:rsid w:val="61C1A246"/>
    <w:rsid w:val="61EA4D2D"/>
    <w:rsid w:val="61EE9A98"/>
    <w:rsid w:val="62126857"/>
    <w:rsid w:val="623EB8A6"/>
    <w:rsid w:val="62561A85"/>
    <w:rsid w:val="625A6C99"/>
    <w:rsid w:val="627F4835"/>
    <w:rsid w:val="62C4CC5D"/>
    <w:rsid w:val="62EDE93B"/>
    <w:rsid w:val="630C1F0C"/>
    <w:rsid w:val="6380168E"/>
    <w:rsid w:val="63835FF7"/>
    <w:rsid w:val="639E8C1E"/>
    <w:rsid w:val="639EE5D2"/>
    <w:rsid w:val="63A3FFBA"/>
    <w:rsid w:val="63B1509F"/>
    <w:rsid w:val="63CE4C34"/>
    <w:rsid w:val="63D0E8BC"/>
    <w:rsid w:val="63E1F1B2"/>
    <w:rsid w:val="63E67006"/>
    <w:rsid w:val="63FBD0AA"/>
    <w:rsid w:val="64647B87"/>
    <w:rsid w:val="646B543B"/>
    <w:rsid w:val="64A7468C"/>
    <w:rsid w:val="64D0678F"/>
    <w:rsid w:val="64D65FC3"/>
    <w:rsid w:val="64D7E4A6"/>
    <w:rsid w:val="650A4742"/>
    <w:rsid w:val="65452DDB"/>
    <w:rsid w:val="6559075C"/>
    <w:rsid w:val="655D31F0"/>
    <w:rsid w:val="65922D6D"/>
    <w:rsid w:val="65A02377"/>
    <w:rsid w:val="65B6062A"/>
    <w:rsid w:val="65D18940"/>
    <w:rsid w:val="65D39AA9"/>
    <w:rsid w:val="65F5F91D"/>
    <w:rsid w:val="66201098"/>
    <w:rsid w:val="6643B6F0"/>
    <w:rsid w:val="6643C930"/>
    <w:rsid w:val="66468F30"/>
    <w:rsid w:val="664A914A"/>
    <w:rsid w:val="66543BEF"/>
    <w:rsid w:val="668C601D"/>
    <w:rsid w:val="66954FE9"/>
    <w:rsid w:val="66A3FC37"/>
    <w:rsid w:val="66C0C8F3"/>
    <w:rsid w:val="66C43F82"/>
    <w:rsid w:val="66D2C26A"/>
    <w:rsid w:val="66E1F95D"/>
    <w:rsid w:val="66F36813"/>
    <w:rsid w:val="67115DD0"/>
    <w:rsid w:val="676D53B2"/>
    <w:rsid w:val="677476E4"/>
    <w:rsid w:val="6776DCFF"/>
    <w:rsid w:val="67ACECBD"/>
    <w:rsid w:val="67AE9F20"/>
    <w:rsid w:val="67C916BA"/>
    <w:rsid w:val="67DC9BD2"/>
    <w:rsid w:val="681242C4"/>
    <w:rsid w:val="681B9F7C"/>
    <w:rsid w:val="6829D986"/>
    <w:rsid w:val="682D0E7B"/>
    <w:rsid w:val="68616A77"/>
    <w:rsid w:val="6897638C"/>
    <w:rsid w:val="68AFCB2A"/>
    <w:rsid w:val="68B952AC"/>
    <w:rsid w:val="68C19D63"/>
    <w:rsid w:val="68CDA569"/>
    <w:rsid w:val="68E6B378"/>
    <w:rsid w:val="68EB3A41"/>
    <w:rsid w:val="68EDF0A3"/>
    <w:rsid w:val="68FD5973"/>
    <w:rsid w:val="69025154"/>
    <w:rsid w:val="6960B8A0"/>
    <w:rsid w:val="697FD622"/>
    <w:rsid w:val="69989EC3"/>
    <w:rsid w:val="6998FE7F"/>
    <w:rsid w:val="699E2BDD"/>
    <w:rsid w:val="69A8385C"/>
    <w:rsid w:val="69B1DF2F"/>
    <w:rsid w:val="6A00650D"/>
    <w:rsid w:val="6A05FAB4"/>
    <w:rsid w:val="6A1D7818"/>
    <w:rsid w:val="6A3924BA"/>
    <w:rsid w:val="6A43A452"/>
    <w:rsid w:val="6A4AE76D"/>
    <w:rsid w:val="6A9A4270"/>
    <w:rsid w:val="6AE5AD64"/>
    <w:rsid w:val="6AE859B5"/>
    <w:rsid w:val="6B07A48D"/>
    <w:rsid w:val="6B1B3EF8"/>
    <w:rsid w:val="6B20898C"/>
    <w:rsid w:val="6B44E291"/>
    <w:rsid w:val="6B5A7810"/>
    <w:rsid w:val="6B8386F1"/>
    <w:rsid w:val="6BABFCB2"/>
    <w:rsid w:val="6BB6E0BE"/>
    <w:rsid w:val="6BBD6E5A"/>
    <w:rsid w:val="6BC81F84"/>
    <w:rsid w:val="6BD08A49"/>
    <w:rsid w:val="6BD1CB4B"/>
    <w:rsid w:val="6BDF724D"/>
    <w:rsid w:val="6C044CD0"/>
    <w:rsid w:val="6C3BE9F9"/>
    <w:rsid w:val="6C64817D"/>
    <w:rsid w:val="6C694F9E"/>
    <w:rsid w:val="6C8B3007"/>
    <w:rsid w:val="6CAE2422"/>
    <w:rsid w:val="6CB4F904"/>
    <w:rsid w:val="6CEF2055"/>
    <w:rsid w:val="6D6F111C"/>
    <w:rsid w:val="6D7DA5A2"/>
    <w:rsid w:val="6D87F0E8"/>
    <w:rsid w:val="6D8B50FB"/>
    <w:rsid w:val="6D9488E1"/>
    <w:rsid w:val="6DAA7591"/>
    <w:rsid w:val="6DE67AEF"/>
    <w:rsid w:val="6DE93D76"/>
    <w:rsid w:val="6E95475E"/>
    <w:rsid w:val="6EBF4B00"/>
    <w:rsid w:val="6EEAF068"/>
    <w:rsid w:val="6F034239"/>
    <w:rsid w:val="6F1B5414"/>
    <w:rsid w:val="6F1D3BAE"/>
    <w:rsid w:val="6F1F9D8C"/>
    <w:rsid w:val="6F233793"/>
    <w:rsid w:val="6F56DC0E"/>
    <w:rsid w:val="6F617303"/>
    <w:rsid w:val="6F61CAEF"/>
    <w:rsid w:val="6F6235A0"/>
    <w:rsid w:val="6F6612A3"/>
    <w:rsid w:val="6F75F181"/>
    <w:rsid w:val="6F823958"/>
    <w:rsid w:val="6FCCA9FB"/>
    <w:rsid w:val="6FCF3978"/>
    <w:rsid w:val="6FE39C62"/>
    <w:rsid w:val="6FEF3E7E"/>
    <w:rsid w:val="6FF9A71F"/>
    <w:rsid w:val="70111A6B"/>
    <w:rsid w:val="702264CF"/>
    <w:rsid w:val="702DC740"/>
    <w:rsid w:val="702F0B0A"/>
    <w:rsid w:val="705FBFBF"/>
    <w:rsid w:val="7076C9B7"/>
    <w:rsid w:val="708E4B6F"/>
    <w:rsid w:val="709D6869"/>
    <w:rsid w:val="70A232E1"/>
    <w:rsid w:val="70B36C33"/>
    <w:rsid w:val="70BE0364"/>
    <w:rsid w:val="70EAC440"/>
    <w:rsid w:val="70EE0F3F"/>
    <w:rsid w:val="70FFEA29"/>
    <w:rsid w:val="7129BEAD"/>
    <w:rsid w:val="7137D39D"/>
    <w:rsid w:val="713EE9C5"/>
    <w:rsid w:val="71596946"/>
    <w:rsid w:val="717E3678"/>
    <w:rsid w:val="71B444D8"/>
    <w:rsid w:val="71B5DA82"/>
    <w:rsid w:val="71C39EB8"/>
    <w:rsid w:val="71CA813F"/>
    <w:rsid w:val="71DFC0BB"/>
    <w:rsid w:val="726CDA13"/>
    <w:rsid w:val="7293CD04"/>
    <w:rsid w:val="7299B58C"/>
    <w:rsid w:val="72B69097"/>
    <w:rsid w:val="72D031D5"/>
    <w:rsid w:val="72D68D6F"/>
    <w:rsid w:val="72D99F39"/>
    <w:rsid w:val="72FAA2E6"/>
    <w:rsid w:val="72FF2640"/>
    <w:rsid w:val="730D4577"/>
    <w:rsid w:val="7323644A"/>
    <w:rsid w:val="735D9C73"/>
    <w:rsid w:val="73671FE6"/>
    <w:rsid w:val="73877BEB"/>
    <w:rsid w:val="73883614"/>
    <w:rsid w:val="7394B830"/>
    <w:rsid w:val="73A1309B"/>
    <w:rsid w:val="73DF7DE7"/>
    <w:rsid w:val="7417641B"/>
    <w:rsid w:val="742160A7"/>
    <w:rsid w:val="74366DF3"/>
    <w:rsid w:val="74490FF6"/>
    <w:rsid w:val="745054BE"/>
    <w:rsid w:val="747312B5"/>
    <w:rsid w:val="74B17602"/>
    <w:rsid w:val="74B9EFEA"/>
    <w:rsid w:val="74C8714F"/>
    <w:rsid w:val="74E79EDB"/>
    <w:rsid w:val="74F9A19F"/>
    <w:rsid w:val="7500CB48"/>
    <w:rsid w:val="75312F3D"/>
    <w:rsid w:val="753C9E71"/>
    <w:rsid w:val="7573E81A"/>
    <w:rsid w:val="757DA7FF"/>
    <w:rsid w:val="75948A80"/>
    <w:rsid w:val="75CEA845"/>
    <w:rsid w:val="75F28E8F"/>
    <w:rsid w:val="76234FB3"/>
    <w:rsid w:val="76485612"/>
    <w:rsid w:val="76602746"/>
    <w:rsid w:val="7671B127"/>
    <w:rsid w:val="767AC8A0"/>
    <w:rsid w:val="76909FA0"/>
    <w:rsid w:val="76AAC46A"/>
    <w:rsid w:val="76AB18C1"/>
    <w:rsid w:val="76AED128"/>
    <w:rsid w:val="76E308F5"/>
    <w:rsid w:val="76E3B0A9"/>
    <w:rsid w:val="76E71B60"/>
    <w:rsid w:val="76E824C5"/>
    <w:rsid w:val="77214CDE"/>
    <w:rsid w:val="772EF3D9"/>
    <w:rsid w:val="774D8456"/>
    <w:rsid w:val="77800DBD"/>
    <w:rsid w:val="779C0179"/>
    <w:rsid w:val="77AA85FC"/>
    <w:rsid w:val="77CDCFB2"/>
    <w:rsid w:val="77DB2FB6"/>
    <w:rsid w:val="77EBA5C7"/>
    <w:rsid w:val="77F93034"/>
    <w:rsid w:val="7800D11A"/>
    <w:rsid w:val="78079684"/>
    <w:rsid w:val="7824D857"/>
    <w:rsid w:val="7829D08B"/>
    <w:rsid w:val="78441489"/>
    <w:rsid w:val="78560A59"/>
    <w:rsid w:val="785D9F11"/>
    <w:rsid w:val="7870DEB6"/>
    <w:rsid w:val="7879C188"/>
    <w:rsid w:val="78BA3830"/>
    <w:rsid w:val="78BBE418"/>
    <w:rsid w:val="79357AD7"/>
    <w:rsid w:val="79599A5D"/>
    <w:rsid w:val="796AB86D"/>
    <w:rsid w:val="79A62C18"/>
    <w:rsid w:val="79B9EC4B"/>
    <w:rsid w:val="79C4A516"/>
    <w:rsid w:val="7A1D225F"/>
    <w:rsid w:val="7A1D4338"/>
    <w:rsid w:val="7A590A7A"/>
    <w:rsid w:val="7A5C1B22"/>
    <w:rsid w:val="7ABC1C2A"/>
    <w:rsid w:val="7AC0DB0D"/>
    <w:rsid w:val="7ACFFFB8"/>
    <w:rsid w:val="7B1449E9"/>
    <w:rsid w:val="7B412629"/>
    <w:rsid w:val="7B492C42"/>
    <w:rsid w:val="7B525B45"/>
    <w:rsid w:val="7B5FE050"/>
    <w:rsid w:val="7BAC3B28"/>
    <w:rsid w:val="7BAD1FB4"/>
    <w:rsid w:val="7BD0ED61"/>
    <w:rsid w:val="7C05926C"/>
    <w:rsid w:val="7C229A81"/>
    <w:rsid w:val="7C2492A3"/>
    <w:rsid w:val="7C2FA7DB"/>
    <w:rsid w:val="7C5C178C"/>
    <w:rsid w:val="7C68EDB4"/>
    <w:rsid w:val="7C6E60CA"/>
    <w:rsid w:val="7C7374A3"/>
    <w:rsid w:val="7C89A88D"/>
    <w:rsid w:val="7CA78E4A"/>
    <w:rsid w:val="7CC7ED9D"/>
    <w:rsid w:val="7CD50EB1"/>
    <w:rsid w:val="7CDA78EA"/>
    <w:rsid w:val="7CE1A948"/>
    <w:rsid w:val="7D37F3FB"/>
    <w:rsid w:val="7D4E20ED"/>
    <w:rsid w:val="7D6BB9DB"/>
    <w:rsid w:val="7D8A5CD0"/>
    <w:rsid w:val="7D9DA427"/>
    <w:rsid w:val="7DA20CE8"/>
    <w:rsid w:val="7DA28045"/>
    <w:rsid w:val="7DABC0BB"/>
    <w:rsid w:val="7DADC206"/>
    <w:rsid w:val="7DC8FADE"/>
    <w:rsid w:val="7DCF43CA"/>
    <w:rsid w:val="7DD89574"/>
    <w:rsid w:val="7DD9D9C3"/>
    <w:rsid w:val="7E00933B"/>
    <w:rsid w:val="7E0F4504"/>
    <w:rsid w:val="7E168EEF"/>
    <w:rsid w:val="7E61C377"/>
    <w:rsid w:val="7E68DC46"/>
    <w:rsid w:val="7E84D8D2"/>
    <w:rsid w:val="7EA295F3"/>
    <w:rsid w:val="7ED86855"/>
    <w:rsid w:val="7F3C4907"/>
    <w:rsid w:val="7F473BFD"/>
    <w:rsid w:val="7F597ABF"/>
    <w:rsid w:val="7F5E8CB9"/>
    <w:rsid w:val="7F614F18"/>
    <w:rsid w:val="7F6C1B45"/>
    <w:rsid w:val="7F8E0B10"/>
    <w:rsid w:val="7FC9971A"/>
    <w:rsid w:val="7FD8A7EE"/>
    <w:rsid w:val="7FEAAB3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E853"/>
  <w15:chartTrackingRefBased/>
  <w15:docId w15:val="{E8473BFC-B4D6-4B4B-B200-98A0F4D7E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9136D"/>
    <w:pPr>
      <w:spacing w:after="18" w:line="245" w:lineRule="auto"/>
      <w:ind w:right="10" w:firstLine="189"/>
      <w:jc w:val="both"/>
    </w:pPr>
    <w:rPr>
      <w:rFonts w:ascii="Cambria" w:eastAsia="Cambria" w:hAnsi="Cambria" w:cs="Cambria"/>
      <w:color w:val="000000"/>
      <w:sz w:val="20"/>
      <w:szCs w:val="22"/>
      <w:lang w:val="en-GB" w:eastAsia="en-GB"/>
    </w:rPr>
  </w:style>
  <w:style w:type="paragraph" w:styleId="Heading1">
    <w:name w:val="heading 1"/>
    <w:basedOn w:val="Normal"/>
    <w:next w:val="Normal"/>
    <w:link w:val="Heading1Char"/>
    <w:uiPriority w:val="9"/>
    <w:qFormat/>
    <w:rsid w:val="00AD1029"/>
    <w:pPr>
      <w:keepNext/>
      <w:keepLines/>
      <w:spacing w:before="240" w:after="0" w:line="240" w:lineRule="auto"/>
      <w:ind w:right="0" w:firstLine="0"/>
      <w:jc w:val="left"/>
      <w:outlineLvl w:val="0"/>
    </w:pPr>
    <w:rPr>
      <w:rFonts w:asciiTheme="majorHAnsi" w:eastAsiaTheme="majorEastAsia" w:hAnsiTheme="majorHAnsi" w:cstheme="majorBidi"/>
      <w:color w:val="2F5496" w:themeColor="accent1" w:themeShade="BF"/>
      <w:sz w:val="32"/>
      <w:szCs w:val="32"/>
      <w:lang w:val="en-CA" w:eastAsia="en-US"/>
    </w:rPr>
  </w:style>
  <w:style w:type="paragraph" w:styleId="Heading2">
    <w:name w:val="heading 2"/>
    <w:basedOn w:val="Normal"/>
    <w:next w:val="Normal"/>
    <w:link w:val="Heading2Char"/>
    <w:uiPriority w:val="9"/>
    <w:semiHidden/>
    <w:unhideWhenUsed/>
    <w:qFormat/>
    <w:rsid w:val="0035217D"/>
    <w:pPr>
      <w:keepNext/>
      <w:keepLines/>
      <w:spacing w:before="40" w:after="0" w:line="240" w:lineRule="auto"/>
      <w:ind w:right="0" w:firstLine="0"/>
      <w:jc w:val="left"/>
      <w:outlineLvl w:val="1"/>
    </w:pPr>
    <w:rPr>
      <w:rFonts w:asciiTheme="majorHAnsi" w:eastAsiaTheme="majorEastAsia" w:hAnsiTheme="majorHAnsi" w:cstheme="majorBidi"/>
      <w:color w:val="2F5496" w:themeColor="accent1" w:themeShade="BF"/>
      <w:sz w:val="26"/>
      <w:szCs w:val="26"/>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029"/>
    <w:rPr>
      <w:rFonts w:asciiTheme="majorHAnsi" w:eastAsiaTheme="majorEastAsia" w:hAnsiTheme="majorHAnsi" w:cstheme="majorBidi"/>
      <w:color w:val="2F5496" w:themeColor="accent1" w:themeShade="BF"/>
      <w:sz w:val="32"/>
      <w:szCs w:val="32"/>
      <w:lang w:val="en-CA"/>
    </w:rPr>
  </w:style>
  <w:style w:type="character" w:styleId="CommentReference">
    <w:name w:val="annotation reference"/>
    <w:basedOn w:val="DefaultParagraphFont"/>
    <w:uiPriority w:val="99"/>
    <w:semiHidden/>
    <w:unhideWhenUsed/>
    <w:rsid w:val="0009136D"/>
    <w:rPr>
      <w:sz w:val="16"/>
      <w:szCs w:val="16"/>
    </w:rPr>
  </w:style>
  <w:style w:type="paragraph" w:styleId="CommentText">
    <w:name w:val="annotation text"/>
    <w:basedOn w:val="Normal"/>
    <w:link w:val="CommentTextChar"/>
    <w:uiPriority w:val="99"/>
    <w:unhideWhenUsed/>
    <w:rsid w:val="0009136D"/>
    <w:pPr>
      <w:spacing w:line="240" w:lineRule="auto"/>
    </w:pPr>
    <w:rPr>
      <w:szCs w:val="20"/>
    </w:rPr>
  </w:style>
  <w:style w:type="character" w:customStyle="1" w:styleId="CommentTextChar">
    <w:name w:val="Comment Text Char"/>
    <w:basedOn w:val="DefaultParagraphFont"/>
    <w:link w:val="CommentText"/>
    <w:uiPriority w:val="99"/>
    <w:rsid w:val="0009136D"/>
    <w:rPr>
      <w:rFonts w:ascii="Cambria" w:eastAsia="Cambria" w:hAnsi="Cambria" w:cs="Cambria"/>
      <w:color w:val="000000"/>
      <w:sz w:val="20"/>
      <w:szCs w:val="20"/>
      <w:lang w:val="en-GB" w:eastAsia="en-GB"/>
    </w:rPr>
  </w:style>
  <w:style w:type="paragraph" w:styleId="BalloonText">
    <w:name w:val="Balloon Text"/>
    <w:basedOn w:val="Normal"/>
    <w:link w:val="BalloonTextChar"/>
    <w:uiPriority w:val="99"/>
    <w:semiHidden/>
    <w:unhideWhenUsed/>
    <w:rsid w:val="0009136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136D"/>
    <w:rPr>
      <w:rFonts w:ascii="Times New Roman" w:eastAsia="Cambria" w:hAnsi="Times New Roman" w:cs="Times New Roman"/>
      <w:color w:val="000000"/>
      <w:sz w:val="18"/>
      <w:szCs w:val="18"/>
      <w:lang w:val="en-GB" w:eastAsia="en-GB"/>
    </w:rPr>
  </w:style>
  <w:style w:type="paragraph" w:styleId="CommentSubject">
    <w:name w:val="annotation subject"/>
    <w:basedOn w:val="CommentText"/>
    <w:next w:val="CommentText"/>
    <w:link w:val="CommentSubjectChar"/>
    <w:uiPriority w:val="99"/>
    <w:semiHidden/>
    <w:unhideWhenUsed/>
    <w:rsid w:val="00AF23F0"/>
    <w:rPr>
      <w:b/>
      <w:bCs/>
    </w:rPr>
  </w:style>
  <w:style w:type="character" w:customStyle="1" w:styleId="CommentSubjectChar">
    <w:name w:val="Comment Subject Char"/>
    <w:basedOn w:val="CommentTextChar"/>
    <w:link w:val="CommentSubject"/>
    <w:uiPriority w:val="99"/>
    <w:semiHidden/>
    <w:rsid w:val="00AF23F0"/>
    <w:rPr>
      <w:rFonts w:ascii="Cambria" w:eastAsia="Cambria" w:hAnsi="Cambria" w:cs="Cambria"/>
      <w:b/>
      <w:bCs/>
      <w:color w:val="000000"/>
      <w:sz w:val="20"/>
      <w:szCs w:val="20"/>
      <w:lang w:val="en-GB" w:eastAsia="en-GB"/>
    </w:rPr>
  </w:style>
  <w:style w:type="paragraph" w:styleId="NormalWeb">
    <w:name w:val="Normal (Web)"/>
    <w:basedOn w:val="Normal"/>
    <w:uiPriority w:val="99"/>
    <w:unhideWhenUsed/>
    <w:rsid w:val="00AA6902"/>
    <w:pPr>
      <w:spacing w:before="100" w:beforeAutospacing="1" w:after="100" w:afterAutospacing="1" w:line="240" w:lineRule="auto"/>
      <w:ind w:right="0" w:firstLine="0"/>
      <w:jc w:val="left"/>
    </w:pPr>
    <w:rPr>
      <w:rFonts w:ascii="Times New Roman" w:eastAsia="Times New Roman" w:hAnsi="Times New Roman" w:cs="Times New Roman"/>
      <w:color w:val="auto"/>
      <w:sz w:val="24"/>
      <w:szCs w:val="24"/>
      <w:lang w:val="en-CA" w:eastAsia="en-US"/>
    </w:rPr>
  </w:style>
  <w:style w:type="paragraph" w:styleId="ListParagraph">
    <w:name w:val="List Paragraph"/>
    <w:basedOn w:val="Normal"/>
    <w:uiPriority w:val="34"/>
    <w:qFormat/>
    <w:rsid w:val="00575B47"/>
    <w:pPr>
      <w:ind w:left="720"/>
      <w:contextualSpacing/>
    </w:pPr>
  </w:style>
  <w:style w:type="table" w:styleId="TableGrid">
    <w:name w:val="Table Grid"/>
    <w:basedOn w:val="TableNormal"/>
    <w:uiPriority w:val="39"/>
    <w:rsid w:val="00C74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6BBC"/>
    <w:rPr>
      <w:color w:val="0000FF"/>
      <w:u w:val="single"/>
    </w:rPr>
  </w:style>
  <w:style w:type="character" w:styleId="FollowedHyperlink">
    <w:name w:val="FollowedHyperlink"/>
    <w:basedOn w:val="DefaultParagraphFont"/>
    <w:uiPriority w:val="99"/>
    <w:semiHidden/>
    <w:unhideWhenUsed/>
    <w:rsid w:val="00D52F60"/>
    <w:rPr>
      <w:color w:val="954F72" w:themeColor="followedHyperlink"/>
      <w:u w:val="single"/>
    </w:rPr>
  </w:style>
  <w:style w:type="character" w:styleId="UnresolvedMention">
    <w:name w:val="Unresolved Mention"/>
    <w:basedOn w:val="DefaultParagraphFont"/>
    <w:uiPriority w:val="99"/>
    <w:rsid w:val="00AD1029"/>
    <w:rPr>
      <w:color w:val="605E5C"/>
      <w:shd w:val="clear" w:color="auto" w:fill="E1DFDD"/>
    </w:rPr>
  </w:style>
  <w:style w:type="character" w:customStyle="1" w:styleId="Heading2Char">
    <w:name w:val="Heading 2 Char"/>
    <w:basedOn w:val="DefaultParagraphFont"/>
    <w:link w:val="Heading2"/>
    <w:uiPriority w:val="9"/>
    <w:semiHidden/>
    <w:rsid w:val="0035217D"/>
    <w:rPr>
      <w:rFonts w:asciiTheme="majorHAnsi" w:eastAsiaTheme="majorEastAsia" w:hAnsiTheme="majorHAnsi" w:cstheme="majorBidi"/>
      <w:color w:val="2F5496" w:themeColor="accent1" w:themeShade="BF"/>
      <w:sz w:val="26"/>
      <w:szCs w:val="26"/>
      <w:lang w:val="en-CA"/>
    </w:rPr>
  </w:style>
  <w:style w:type="paragraph" w:styleId="Revision">
    <w:name w:val="Revision"/>
    <w:hidden/>
    <w:uiPriority w:val="99"/>
    <w:semiHidden/>
    <w:rsid w:val="0035217D"/>
    <w:rPr>
      <w:lang w:val="en-CA"/>
    </w:rPr>
  </w:style>
  <w:style w:type="paragraph" w:styleId="FootnoteText">
    <w:name w:val="footnote text"/>
    <w:basedOn w:val="Normal"/>
    <w:link w:val="FootnoteTextChar"/>
    <w:uiPriority w:val="99"/>
    <w:semiHidden/>
    <w:unhideWhenUsed/>
    <w:rsid w:val="0035217D"/>
    <w:pPr>
      <w:spacing w:after="0" w:line="240" w:lineRule="auto"/>
      <w:ind w:right="0" w:firstLine="0"/>
      <w:jc w:val="left"/>
    </w:pPr>
    <w:rPr>
      <w:rFonts w:asciiTheme="minorHAnsi" w:eastAsiaTheme="minorHAnsi" w:hAnsiTheme="minorHAnsi" w:cstheme="minorBidi"/>
      <w:color w:val="auto"/>
      <w:szCs w:val="20"/>
      <w:lang w:val="en-CA" w:eastAsia="en-US"/>
    </w:rPr>
  </w:style>
  <w:style w:type="character" w:customStyle="1" w:styleId="FootnoteTextChar">
    <w:name w:val="Footnote Text Char"/>
    <w:basedOn w:val="DefaultParagraphFont"/>
    <w:link w:val="FootnoteText"/>
    <w:uiPriority w:val="99"/>
    <w:semiHidden/>
    <w:rsid w:val="0035217D"/>
    <w:rPr>
      <w:sz w:val="20"/>
      <w:szCs w:val="20"/>
      <w:lang w:val="en-CA"/>
    </w:rPr>
  </w:style>
  <w:style w:type="character" w:styleId="FootnoteReference">
    <w:name w:val="footnote reference"/>
    <w:basedOn w:val="DefaultParagraphFont"/>
    <w:uiPriority w:val="99"/>
    <w:semiHidden/>
    <w:unhideWhenUsed/>
    <w:rsid w:val="0035217D"/>
    <w:rPr>
      <w:vertAlign w:val="superscript"/>
    </w:rPr>
  </w:style>
  <w:style w:type="character" w:customStyle="1" w:styleId="st">
    <w:name w:val="st"/>
    <w:basedOn w:val="DefaultParagraphFont"/>
    <w:rsid w:val="0035217D"/>
  </w:style>
  <w:style w:type="character" w:styleId="Emphasis">
    <w:name w:val="Emphasis"/>
    <w:basedOn w:val="DefaultParagraphFont"/>
    <w:uiPriority w:val="20"/>
    <w:qFormat/>
    <w:rsid w:val="0035217D"/>
    <w:rPr>
      <w:i/>
      <w:iCs/>
    </w:rPr>
  </w:style>
  <w:style w:type="character" w:customStyle="1" w:styleId="highlight">
    <w:name w:val="highlight"/>
    <w:basedOn w:val="DefaultParagraphFont"/>
    <w:rsid w:val="002029B0"/>
  </w:style>
  <w:style w:type="paragraph" w:styleId="Header">
    <w:name w:val="header"/>
    <w:basedOn w:val="Normal"/>
    <w:link w:val="HeaderChar"/>
    <w:uiPriority w:val="99"/>
    <w:unhideWhenUsed/>
    <w:rsid w:val="00161D6C"/>
    <w:pPr>
      <w:tabs>
        <w:tab w:val="center" w:pos="4680"/>
        <w:tab w:val="right" w:pos="9360"/>
      </w:tabs>
      <w:spacing w:after="0" w:line="240" w:lineRule="auto"/>
      <w:ind w:right="0" w:firstLine="0"/>
      <w:jc w:val="left"/>
    </w:pPr>
    <w:rPr>
      <w:rFonts w:asciiTheme="minorHAnsi" w:eastAsiaTheme="minorHAnsi" w:hAnsiTheme="minorHAnsi" w:cstheme="minorBidi"/>
      <w:color w:val="auto"/>
      <w:sz w:val="24"/>
      <w:szCs w:val="24"/>
      <w:lang w:val="en-CA" w:eastAsia="en-US"/>
    </w:rPr>
  </w:style>
  <w:style w:type="character" w:customStyle="1" w:styleId="HeaderChar">
    <w:name w:val="Header Char"/>
    <w:basedOn w:val="DefaultParagraphFont"/>
    <w:link w:val="Header"/>
    <w:uiPriority w:val="99"/>
    <w:rsid w:val="00161D6C"/>
    <w:rPr>
      <w:lang w:val="en-CA"/>
    </w:rPr>
  </w:style>
  <w:style w:type="paragraph" w:styleId="Footer">
    <w:name w:val="footer"/>
    <w:basedOn w:val="Normal"/>
    <w:link w:val="FooterChar"/>
    <w:uiPriority w:val="99"/>
    <w:unhideWhenUsed/>
    <w:rsid w:val="00161D6C"/>
    <w:pPr>
      <w:tabs>
        <w:tab w:val="center" w:pos="4680"/>
        <w:tab w:val="right" w:pos="9360"/>
      </w:tabs>
      <w:spacing w:after="0" w:line="240" w:lineRule="auto"/>
      <w:ind w:right="0" w:firstLine="0"/>
      <w:jc w:val="left"/>
    </w:pPr>
    <w:rPr>
      <w:rFonts w:asciiTheme="minorHAnsi" w:eastAsiaTheme="minorHAnsi" w:hAnsiTheme="minorHAnsi" w:cstheme="minorBidi"/>
      <w:color w:val="auto"/>
      <w:sz w:val="24"/>
      <w:szCs w:val="24"/>
      <w:lang w:val="en-CA" w:eastAsia="en-US"/>
    </w:rPr>
  </w:style>
  <w:style w:type="character" w:customStyle="1" w:styleId="FooterChar">
    <w:name w:val="Footer Char"/>
    <w:basedOn w:val="DefaultParagraphFont"/>
    <w:link w:val="Footer"/>
    <w:uiPriority w:val="99"/>
    <w:rsid w:val="00161D6C"/>
    <w:rPr>
      <w:lang w:val="en-CA"/>
    </w:rPr>
  </w:style>
  <w:style w:type="character" w:customStyle="1" w:styleId="ref-journal">
    <w:name w:val="ref-journal"/>
    <w:basedOn w:val="DefaultParagraphFont"/>
    <w:rsid w:val="00161D6C"/>
  </w:style>
  <w:style w:type="character" w:customStyle="1" w:styleId="ref-vol">
    <w:name w:val="ref-vol"/>
    <w:basedOn w:val="DefaultParagraphFont"/>
    <w:rsid w:val="00161D6C"/>
  </w:style>
  <w:style w:type="paragraph" w:styleId="HTMLPreformatted">
    <w:name w:val="HTML Preformatted"/>
    <w:basedOn w:val="Normal"/>
    <w:link w:val="HTMLPreformattedChar"/>
    <w:uiPriority w:val="99"/>
    <w:semiHidden/>
    <w:unhideWhenUsed/>
    <w:rsid w:val="005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pPr>
    <w:rPr>
      <w:rFonts w:ascii="Courier New" w:eastAsia="Times New Roman" w:hAnsi="Courier New" w:cs="Courier New"/>
      <w:color w:val="auto"/>
      <w:szCs w:val="20"/>
      <w:lang w:val="en-CA" w:eastAsia="en-US"/>
    </w:rPr>
  </w:style>
  <w:style w:type="character" w:customStyle="1" w:styleId="HTMLPreformattedChar">
    <w:name w:val="HTML Preformatted Char"/>
    <w:basedOn w:val="DefaultParagraphFont"/>
    <w:link w:val="HTMLPreformatted"/>
    <w:uiPriority w:val="99"/>
    <w:semiHidden/>
    <w:rsid w:val="005B0AB4"/>
    <w:rPr>
      <w:rFonts w:ascii="Courier New" w:eastAsia="Times New Roman" w:hAnsi="Courier New" w:cs="Courier New"/>
      <w:sz w:val="20"/>
      <w:szCs w:val="20"/>
      <w:lang w:val="en-CA"/>
    </w:rPr>
  </w:style>
  <w:style w:type="character" w:customStyle="1" w:styleId="f1000-at-ignore">
    <w:name w:val="f1000-at-ignore"/>
    <w:basedOn w:val="DefaultParagraphFont"/>
    <w:rsid w:val="00630551"/>
  </w:style>
  <w:style w:type="paragraph" w:customStyle="1" w:styleId="c-bibliographic-informationcitation">
    <w:name w:val="c-bibliographic-information__citation"/>
    <w:basedOn w:val="Normal"/>
    <w:rsid w:val="00DB40F6"/>
    <w:pPr>
      <w:spacing w:before="100" w:beforeAutospacing="1" w:after="100" w:afterAutospacing="1" w:line="240" w:lineRule="auto"/>
      <w:ind w:right="0" w:firstLine="0"/>
      <w:jc w:val="left"/>
    </w:pPr>
    <w:rPr>
      <w:rFonts w:ascii="Times New Roman" w:eastAsia="Times New Roman" w:hAnsi="Times New Roman" w:cs="Times New Roman"/>
      <w:color w:val="auto"/>
      <w:sz w:val="24"/>
      <w:szCs w:val="24"/>
      <w:lang w:val="en-CA"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7722">
      <w:bodyDiv w:val="1"/>
      <w:marLeft w:val="0"/>
      <w:marRight w:val="0"/>
      <w:marTop w:val="0"/>
      <w:marBottom w:val="0"/>
      <w:divBdr>
        <w:top w:val="none" w:sz="0" w:space="0" w:color="auto"/>
        <w:left w:val="none" w:sz="0" w:space="0" w:color="auto"/>
        <w:bottom w:val="none" w:sz="0" w:space="0" w:color="auto"/>
        <w:right w:val="none" w:sz="0" w:space="0" w:color="auto"/>
      </w:divBdr>
    </w:div>
    <w:div w:id="31654295">
      <w:bodyDiv w:val="1"/>
      <w:marLeft w:val="0"/>
      <w:marRight w:val="0"/>
      <w:marTop w:val="0"/>
      <w:marBottom w:val="0"/>
      <w:divBdr>
        <w:top w:val="none" w:sz="0" w:space="0" w:color="auto"/>
        <w:left w:val="none" w:sz="0" w:space="0" w:color="auto"/>
        <w:bottom w:val="none" w:sz="0" w:space="0" w:color="auto"/>
        <w:right w:val="none" w:sz="0" w:space="0" w:color="auto"/>
      </w:divBdr>
    </w:div>
    <w:div w:id="73477449">
      <w:bodyDiv w:val="1"/>
      <w:marLeft w:val="0"/>
      <w:marRight w:val="0"/>
      <w:marTop w:val="0"/>
      <w:marBottom w:val="0"/>
      <w:divBdr>
        <w:top w:val="none" w:sz="0" w:space="0" w:color="auto"/>
        <w:left w:val="none" w:sz="0" w:space="0" w:color="auto"/>
        <w:bottom w:val="none" w:sz="0" w:space="0" w:color="auto"/>
        <w:right w:val="none" w:sz="0" w:space="0" w:color="auto"/>
      </w:divBdr>
    </w:div>
    <w:div w:id="81147682">
      <w:bodyDiv w:val="1"/>
      <w:marLeft w:val="0"/>
      <w:marRight w:val="0"/>
      <w:marTop w:val="0"/>
      <w:marBottom w:val="0"/>
      <w:divBdr>
        <w:top w:val="none" w:sz="0" w:space="0" w:color="auto"/>
        <w:left w:val="none" w:sz="0" w:space="0" w:color="auto"/>
        <w:bottom w:val="none" w:sz="0" w:space="0" w:color="auto"/>
        <w:right w:val="none" w:sz="0" w:space="0" w:color="auto"/>
      </w:divBdr>
    </w:div>
    <w:div w:id="99106136">
      <w:bodyDiv w:val="1"/>
      <w:marLeft w:val="0"/>
      <w:marRight w:val="0"/>
      <w:marTop w:val="0"/>
      <w:marBottom w:val="0"/>
      <w:divBdr>
        <w:top w:val="none" w:sz="0" w:space="0" w:color="auto"/>
        <w:left w:val="none" w:sz="0" w:space="0" w:color="auto"/>
        <w:bottom w:val="none" w:sz="0" w:space="0" w:color="auto"/>
        <w:right w:val="none" w:sz="0" w:space="0" w:color="auto"/>
      </w:divBdr>
    </w:div>
    <w:div w:id="113914582">
      <w:bodyDiv w:val="1"/>
      <w:marLeft w:val="0"/>
      <w:marRight w:val="0"/>
      <w:marTop w:val="0"/>
      <w:marBottom w:val="0"/>
      <w:divBdr>
        <w:top w:val="none" w:sz="0" w:space="0" w:color="auto"/>
        <w:left w:val="none" w:sz="0" w:space="0" w:color="auto"/>
        <w:bottom w:val="none" w:sz="0" w:space="0" w:color="auto"/>
        <w:right w:val="none" w:sz="0" w:space="0" w:color="auto"/>
      </w:divBdr>
    </w:div>
    <w:div w:id="164706399">
      <w:bodyDiv w:val="1"/>
      <w:marLeft w:val="0"/>
      <w:marRight w:val="0"/>
      <w:marTop w:val="0"/>
      <w:marBottom w:val="0"/>
      <w:divBdr>
        <w:top w:val="none" w:sz="0" w:space="0" w:color="auto"/>
        <w:left w:val="none" w:sz="0" w:space="0" w:color="auto"/>
        <w:bottom w:val="none" w:sz="0" w:space="0" w:color="auto"/>
        <w:right w:val="none" w:sz="0" w:space="0" w:color="auto"/>
      </w:divBdr>
    </w:div>
    <w:div w:id="182943683">
      <w:bodyDiv w:val="1"/>
      <w:marLeft w:val="0"/>
      <w:marRight w:val="0"/>
      <w:marTop w:val="0"/>
      <w:marBottom w:val="0"/>
      <w:divBdr>
        <w:top w:val="none" w:sz="0" w:space="0" w:color="auto"/>
        <w:left w:val="none" w:sz="0" w:space="0" w:color="auto"/>
        <w:bottom w:val="none" w:sz="0" w:space="0" w:color="auto"/>
        <w:right w:val="none" w:sz="0" w:space="0" w:color="auto"/>
      </w:divBdr>
    </w:div>
    <w:div w:id="196747738">
      <w:bodyDiv w:val="1"/>
      <w:marLeft w:val="0"/>
      <w:marRight w:val="0"/>
      <w:marTop w:val="0"/>
      <w:marBottom w:val="0"/>
      <w:divBdr>
        <w:top w:val="none" w:sz="0" w:space="0" w:color="auto"/>
        <w:left w:val="none" w:sz="0" w:space="0" w:color="auto"/>
        <w:bottom w:val="none" w:sz="0" w:space="0" w:color="auto"/>
        <w:right w:val="none" w:sz="0" w:space="0" w:color="auto"/>
      </w:divBdr>
    </w:div>
    <w:div w:id="206836568">
      <w:bodyDiv w:val="1"/>
      <w:marLeft w:val="0"/>
      <w:marRight w:val="0"/>
      <w:marTop w:val="0"/>
      <w:marBottom w:val="0"/>
      <w:divBdr>
        <w:top w:val="none" w:sz="0" w:space="0" w:color="auto"/>
        <w:left w:val="none" w:sz="0" w:space="0" w:color="auto"/>
        <w:bottom w:val="none" w:sz="0" w:space="0" w:color="auto"/>
        <w:right w:val="none" w:sz="0" w:space="0" w:color="auto"/>
      </w:divBdr>
    </w:div>
    <w:div w:id="208148057">
      <w:bodyDiv w:val="1"/>
      <w:marLeft w:val="0"/>
      <w:marRight w:val="0"/>
      <w:marTop w:val="0"/>
      <w:marBottom w:val="0"/>
      <w:divBdr>
        <w:top w:val="none" w:sz="0" w:space="0" w:color="auto"/>
        <w:left w:val="none" w:sz="0" w:space="0" w:color="auto"/>
        <w:bottom w:val="none" w:sz="0" w:space="0" w:color="auto"/>
        <w:right w:val="none" w:sz="0" w:space="0" w:color="auto"/>
      </w:divBdr>
    </w:div>
    <w:div w:id="249316329">
      <w:bodyDiv w:val="1"/>
      <w:marLeft w:val="0"/>
      <w:marRight w:val="0"/>
      <w:marTop w:val="0"/>
      <w:marBottom w:val="0"/>
      <w:divBdr>
        <w:top w:val="none" w:sz="0" w:space="0" w:color="auto"/>
        <w:left w:val="none" w:sz="0" w:space="0" w:color="auto"/>
        <w:bottom w:val="none" w:sz="0" w:space="0" w:color="auto"/>
        <w:right w:val="none" w:sz="0" w:space="0" w:color="auto"/>
      </w:divBdr>
    </w:div>
    <w:div w:id="254436057">
      <w:bodyDiv w:val="1"/>
      <w:marLeft w:val="0"/>
      <w:marRight w:val="0"/>
      <w:marTop w:val="0"/>
      <w:marBottom w:val="0"/>
      <w:divBdr>
        <w:top w:val="none" w:sz="0" w:space="0" w:color="auto"/>
        <w:left w:val="none" w:sz="0" w:space="0" w:color="auto"/>
        <w:bottom w:val="none" w:sz="0" w:space="0" w:color="auto"/>
        <w:right w:val="none" w:sz="0" w:space="0" w:color="auto"/>
      </w:divBdr>
    </w:div>
    <w:div w:id="261107268">
      <w:bodyDiv w:val="1"/>
      <w:marLeft w:val="0"/>
      <w:marRight w:val="0"/>
      <w:marTop w:val="0"/>
      <w:marBottom w:val="0"/>
      <w:divBdr>
        <w:top w:val="none" w:sz="0" w:space="0" w:color="auto"/>
        <w:left w:val="none" w:sz="0" w:space="0" w:color="auto"/>
        <w:bottom w:val="none" w:sz="0" w:space="0" w:color="auto"/>
        <w:right w:val="none" w:sz="0" w:space="0" w:color="auto"/>
      </w:divBdr>
    </w:div>
    <w:div w:id="264924031">
      <w:bodyDiv w:val="1"/>
      <w:marLeft w:val="0"/>
      <w:marRight w:val="0"/>
      <w:marTop w:val="0"/>
      <w:marBottom w:val="0"/>
      <w:divBdr>
        <w:top w:val="none" w:sz="0" w:space="0" w:color="auto"/>
        <w:left w:val="none" w:sz="0" w:space="0" w:color="auto"/>
        <w:bottom w:val="none" w:sz="0" w:space="0" w:color="auto"/>
        <w:right w:val="none" w:sz="0" w:space="0" w:color="auto"/>
      </w:divBdr>
    </w:div>
    <w:div w:id="275253346">
      <w:bodyDiv w:val="1"/>
      <w:marLeft w:val="0"/>
      <w:marRight w:val="0"/>
      <w:marTop w:val="0"/>
      <w:marBottom w:val="0"/>
      <w:divBdr>
        <w:top w:val="none" w:sz="0" w:space="0" w:color="auto"/>
        <w:left w:val="none" w:sz="0" w:space="0" w:color="auto"/>
        <w:bottom w:val="none" w:sz="0" w:space="0" w:color="auto"/>
        <w:right w:val="none" w:sz="0" w:space="0" w:color="auto"/>
      </w:divBdr>
    </w:div>
    <w:div w:id="294988037">
      <w:bodyDiv w:val="1"/>
      <w:marLeft w:val="0"/>
      <w:marRight w:val="0"/>
      <w:marTop w:val="0"/>
      <w:marBottom w:val="0"/>
      <w:divBdr>
        <w:top w:val="none" w:sz="0" w:space="0" w:color="auto"/>
        <w:left w:val="none" w:sz="0" w:space="0" w:color="auto"/>
        <w:bottom w:val="none" w:sz="0" w:space="0" w:color="auto"/>
        <w:right w:val="none" w:sz="0" w:space="0" w:color="auto"/>
      </w:divBdr>
    </w:div>
    <w:div w:id="311251436">
      <w:bodyDiv w:val="1"/>
      <w:marLeft w:val="0"/>
      <w:marRight w:val="0"/>
      <w:marTop w:val="0"/>
      <w:marBottom w:val="0"/>
      <w:divBdr>
        <w:top w:val="none" w:sz="0" w:space="0" w:color="auto"/>
        <w:left w:val="none" w:sz="0" w:space="0" w:color="auto"/>
        <w:bottom w:val="none" w:sz="0" w:space="0" w:color="auto"/>
        <w:right w:val="none" w:sz="0" w:space="0" w:color="auto"/>
      </w:divBdr>
    </w:div>
    <w:div w:id="398479262">
      <w:bodyDiv w:val="1"/>
      <w:marLeft w:val="0"/>
      <w:marRight w:val="0"/>
      <w:marTop w:val="0"/>
      <w:marBottom w:val="0"/>
      <w:divBdr>
        <w:top w:val="none" w:sz="0" w:space="0" w:color="auto"/>
        <w:left w:val="none" w:sz="0" w:space="0" w:color="auto"/>
        <w:bottom w:val="none" w:sz="0" w:space="0" w:color="auto"/>
        <w:right w:val="none" w:sz="0" w:space="0" w:color="auto"/>
      </w:divBdr>
    </w:div>
    <w:div w:id="411975193">
      <w:bodyDiv w:val="1"/>
      <w:marLeft w:val="0"/>
      <w:marRight w:val="0"/>
      <w:marTop w:val="0"/>
      <w:marBottom w:val="0"/>
      <w:divBdr>
        <w:top w:val="none" w:sz="0" w:space="0" w:color="auto"/>
        <w:left w:val="none" w:sz="0" w:space="0" w:color="auto"/>
        <w:bottom w:val="none" w:sz="0" w:space="0" w:color="auto"/>
        <w:right w:val="none" w:sz="0" w:space="0" w:color="auto"/>
      </w:divBdr>
    </w:div>
    <w:div w:id="428819518">
      <w:bodyDiv w:val="1"/>
      <w:marLeft w:val="0"/>
      <w:marRight w:val="0"/>
      <w:marTop w:val="0"/>
      <w:marBottom w:val="0"/>
      <w:divBdr>
        <w:top w:val="none" w:sz="0" w:space="0" w:color="auto"/>
        <w:left w:val="none" w:sz="0" w:space="0" w:color="auto"/>
        <w:bottom w:val="none" w:sz="0" w:space="0" w:color="auto"/>
        <w:right w:val="none" w:sz="0" w:space="0" w:color="auto"/>
      </w:divBdr>
    </w:div>
    <w:div w:id="473370071">
      <w:bodyDiv w:val="1"/>
      <w:marLeft w:val="0"/>
      <w:marRight w:val="0"/>
      <w:marTop w:val="0"/>
      <w:marBottom w:val="0"/>
      <w:divBdr>
        <w:top w:val="none" w:sz="0" w:space="0" w:color="auto"/>
        <w:left w:val="none" w:sz="0" w:space="0" w:color="auto"/>
        <w:bottom w:val="none" w:sz="0" w:space="0" w:color="auto"/>
        <w:right w:val="none" w:sz="0" w:space="0" w:color="auto"/>
      </w:divBdr>
    </w:div>
    <w:div w:id="479927189">
      <w:bodyDiv w:val="1"/>
      <w:marLeft w:val="0"/>
      <w:marRight w:val="0"/>
      <w:marTop w:val="0"/>
      <w:marBottom w:val="0"/>
      <w:divBdr>
        <w:top w:val="none" w:sz="0" w:space="0" w:color="auto"/>
        <w:left w:val="none" w:sz="0" w:space="0" w:color="auto"/>
        <w:bottom w:val="none" w:sz="0" w:space="0" w:color="auto"/>
        <w:right w:val="none" w:sz="0" w:space="0" w:color="auto"/>
      </w:divBdr>
    </w:div>
    <w:div w:id="512912642">
      <w:bodyDiv w:val="1"/>
      <w:marLeft w:val="0"/>
      <w:marRight w:val="0"/>
      <w:marTop w:val="0"/>
      <w:marBottom w:val="0"/>
      <w:divBdr>
        <w:top w:val="none" w:sz="0" w:space="0" w:color="auto"/>
        <w:left w:val="none" w:sz="0" w:space="0" w:color="auto"/>
        <w:bottom w:val="none" w:sz="0" w:space="0" w:color="auto"/>
        <w:right w:val="none" w:sz="0" w:space="0" w:color="auto"/>
      </w:divBdr>
    </w:div>
    <w:div w:id="522060325">
      <w:bodyDiv w:val="1"/>
      <w:marLeft w:val="0"/>
      <w:marRight w:val="0"/>
      <w:marTop w:val="0"/>
      <w:marBottom w:val="0"/>
      <w:divBdr>
        <w:top w:val="none" w:sz="0" w:space="0" w:color="auto"/>
        <w:left w:val="none" w:sz="0" w:space="0" w:color="auto"/>
        <w:bottom w:val="none" w:sz="0" w:space="0" w:color="auto"/>
        <w:right w:val="none" w:sz="0" w:space="0" w:color="auto"/>
      </w:divBdr>
      <w:divsChild>
        <w:div w:id="488179453">
          <w:marLeft w:val="0"/>
          <w:marRight w:val="0"/>
          <w:marTop w:val="0"/>
          <w:marBottom w:val="0"/>
          <w:divBdr>
            <w:top w:val="none" w:sz="0" w:space="0" w:color="auto"/>
            <w:left w:val="none" w:sz="0" w:space="0" w:color="auto"/>
            <w:bottom w:val="none" w:sz="0" w:space="0" w:color="auto"/>
            <w:right w:val="none" w:sz="0" w:space="0" w:color="auto"/>
          </w:divBdr>
          <w:divsChild>
            <w:div w:id="2105565068">
              <w:marLeft w:val="0"/>
              <w:marRight w:val="0"/>
              <w:marTop w:val="0"/>
              <w:marBottom w:val="0"/>
              <w:divBdr>
                <w:top w:val="none" w:sz="0" w:space="0" w:color="auto"/>
                <w:left w:val="none" w:sz="0" w:space="0" w:color="auto"/>
                <w:bottom w:val="none" w:sz="0" w:space="0" w:color="auto"/>
                <w:right w:val="none" w:sz="0" w:space="0" w:color="auto"/>
              </w:divBdr>
              <w:divsChild>
                <w:div w:id="1395470079">
                  <w:marLeft w:val="0"/>
                  <w:marRight w:val="0"/>
                  <w:marTop w:val="0"/>
                  <w:marBottom w:val="0"/>
                  <w:divBdr>
                    <w:top w:val="none" w:sz="0" w:space="0" w:color="auto"/>
                    <w:left w:val="none" w:sz="0" w:space="0" w:color="auto"/>
                    <w:bottom w:val="none" w:sz="0" w:space="0" w:color="auto"/>
                    <w:right w:val="none" w:sz="0" w:space="0" w:color="auto"/>
                  </w:divBdr>
                  <w:divsChild>
                    <w:div w:id="1931115874">
                      <w:marLeft w:val="0"/>
                      <w:marRight w:val="0"/>
                      <w:marTop w:val="0"/>
                      <w:marBottom w:val="0"/>
                      <w:divBdr>
                        <w:top w:val="none" w:sz="0" w:space="0" w:color="auto"/>
                        <w:left w:val="none" w:sz="0" w:space="0" w:color="auto"/>
                        <w:bottom w:val="none" w:sz="0" w:space="0" w:color="auto"/>
                        <w:right w:val="none" w:sz="0" w:space="0" w:color="auto"/>
                      </w:divBdr>
                      <w:divsChild>
                        <w:div w:id="14837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138010">
      <w:bodyDiv w:val="1"/>
      <w:marLeft w:val="0"/>
      <w:marRight w:val="0"/>
      <w:marTop w:val="0"/>
      <w:marBottom w:val="0"/>
      <w:divBdr>
        <w:top w:val="none" w:sz="0" w:space="0" w:color="auto"/>
        <w:left w:val="none" w:sz="0" w:space="0" w:color="auto"/>
        <w:bottom w:val="none" w:sz="0" w:space="0" w:color="auto"/>
        <w:right w:val="none" w:sz="0" w:space="0" w:color="auto"/>
      </w:divBdr>
    </w:div>
    <w:div w:id="623539497">
      <w:bodyDiv w:val="1"/>
      <w:marLeft w:val="0"/>
      <w:marRight w:val="0"/>
      <w:marTop w:val="0"/>
      <w:marBottom w:val="0"/>
      <w:divBdr>
        <w:top w:val="none" w:sz="0" w:space="0" w:color="auto"/>
        <w:left w:val="none" w:sz="0" w:space="0" w:color="auto"/>
        <w:bottom w:val="none" w:sz="0" w:space="0" w:color="auto"/>
        <w:right w:val="none" w:sz="0" w:space="0" w:color="auto"/>
      </w:divBdr>
    </w:div>
    <w:div w:id="636422513">
      <w:bodyDiv w:val="1"/>
      <w:marLeft w:val="0"/>
      <w:marRight w:val="0"/>
      <w:marTop w:val="0"/>
      <w:marBottom w:val="0"/>
      <w:divBdr>
        <w:top w:val="none" w:sz="0" w:space="0" w:color="auto"/>
        <w:left w:val="none" w:sz="0" w:space="0" w:color="auto"/>
        <w:bottom w:val="none" w:sz="0" w:space="0" w:color="auto"/>
        <w:right w:val="none" w:sz="0" w:space="0" w:color="auto"/>
      </w:divBdr>
    </w:div>
    <w:div w:id="644823087">
      <w:bodyDiv w:val="1"/>
      <w:marLeft w:val="0"/>
      <w:marRight w:val="0"/>
      <w:marTop w:val="0"/>
      <w:marBottom w:val="0"/>
      <w:divBdr>
        <w:top w:val="none" w:sz="0" w:space="0" w:color="auto"/>
        <w:left w:val="none" w:sz="0" w:space="0" w:color="auto"/>
        <w:bottom w:val="none" w:sz="0" w:space="0" w:color="auto"/>
        <w:right w:val="none" w:sz="0" w:space="0" w:color="auto"/>
      </w:divBdr>
    </w:div>
    <w:div w:id="650451427">
      <w:bodyDiv w:val="1"/>
      <w:marLeft w:val="0"/>
      <w:marRight w:val="0"/>
      <w:marTop w:val="0"/>
      <w:marBottom w:val="0"/>
      <w:divBdr>
        <w:top w:val="none" w:sz="0" w:space="0" w:color="auto"/>
        <w:left w:val="none" w:sz="0" w:space="0" w:color="auto"/>
        <w:bottom w:val="none" w:sz="0" w:space="0" w:color="auto"/>
        <w:right w:val="none" w:sz="0" w:space="0" w:color="auto"/>
      </w:divBdr>
    </w:div>
    <w:div w:id="672420099">
      <w:bodyDiv w:val="1"/>
      <w:marLeft w:val="0"/>
      <w:marRight w:val="0"/>
      <w:marTop w:val="0"/>
      <w:marBottom w:val="0"/>
      <w:divBdr>
        <w:top w:val="none" w:sz="0" w:space="0" w:color="auto"/>
        <w:left w:val="none" w:sz="0" w:space="0" w:color="auto"/>
        <w:bottom w:val="none" w:sz="0" w:space="0" w:color="auto"/>
        <w:right w:val="none" w:sz="0" w:space="0" w:color="auto"/>
      </w:divBdr>
    </w:div>
    <w:div w:id="710686373">
      <w:bodyDiv w:val="1"/>
      <w:marLeft w:val="0"/>
      <w:marRight w:val="0"/>
      <w:marTop w:val="0"/>
      <w:marBottom w:val="0"/>
      <w:divBdr>
        <w:top w:val="none" w:sz="0" w:space="0" w:color="auto"/>
        <w:left w:val="none" w:sz="0" w:space="0" w:color="auto"/>
        <w:bottom w:val="none" w:sz="0" w:space="0" w:color="auto"/>
        <w:right w:val="none" w:sz="0" w:space="0" w:color="auto"/>
      </w:divBdr>
    </w:div>
    <w:div w:id="738287427">
      <w:bodyDiv w:val="1"/>
      <w:marLeft w:val="0"/>
      <w:marRight w:val="0"/>
      <w:marTop w:val="0"/>
      <w:marBottom w:val="0"/>
      <w:divBdr>
        <w:top w:val="none" w:sz="0" w:space="0" w:color="auto"/>
        <w:left w:val="none" w:sz="0" w:space="0" w:color="auto"/>
        <w:bottom w:val="none" w:sz="0" w:space="0" w:color="auto"/>
        <w:right w:val="none" w:sz="0" w:space="0" w:color="auto"/>
      </w:divBdr>
    </w:div>
    <w:div w:id="804814749">
      <w:bodyDiv w:val="1"/>
      <w:marLeft w:val="0"/>
      <w:marRight w:val="0"/>
      <w:marTop w:val="0"/>
      <w:marBottom w:val="0"/>
      <w:divBdr>
        <w:top w:val="none" w:sz="0" w:space="0" w:color="auto"/>
        <w:left w:val="none" w:sz="0" w:space="0" w:color="auto"/>
        <w:bottom w:val="none" w:sz="0" w:space="0" w:color="auto"/>
        <w:right w:val="none" w:sz="0" w:space="0" w:color="auto"/>
      </w:divBdr>
    </w:div>
    <w:div w:id="824977489">
      <w:bodyDiv w:val="1"/>
      <w:marLeft w:val="0"/>
      <w:marRight w:val="0"/>
      <w:marTop w:val="0"/>
      <w:marBottom w:val="0"/>
      <w:divBdr>
        <w:top w:val="none" w:sz="0" w:space="0" w:color="auto"/>
        <w:left w:val="none" w:sz="0" w:space="0" w:color="auto"/>
        <w:bottom w:val="none" w:sz="0" w:space="0" w:color="auto"/>
        <w:right w:val="none" w:sz="0" w:space="0" w:color="auto"/>
      </w:divBdr>
    </w:div>
    <w:div w:id="839007221">
      <w:bodyDiv w:val="1"/>
      <w:marLeft w:val="0"/>
      <w:marRight w:val="0"/>
      <w:marTop w:val="0"/>
      <w:marBottom w:val="0"/>
      <w:divBdr>
        <w:top w:val="none" w:sz="0" w:space="0" w:color="auto"/>
        <w:left w:val="none" w:sz="0" w:space="0" w:color="auto"/>
        <w:bottom w:val="none" w:sz="0" w:space="0" w:color="auto"/>
        <w:right w:val="none" w:sz="0" w:space="0" w:color="auto"/>
      </w:divBdr>
    </w:div>
    <w:div w:id="841317996">
      <w:bodyDiv w:val="1"/>
      <w:marLeft w:val="0"/>
      <w:marRight w:val="0"/>
      <w:marTop w:val="0"/>
      <w:marBottom w:val="0"/>
      <w:divBdr>
        <w:top w:val="none" w:sz="0" w:space="0" w:color="auto"/>
        <w:left w:val="none" w:sz="0" w:space="0" w:color="auto"/>
        <w:bottom w:val="none" w:sz="0" w:space="0" w:color="auto"/>
        <w:right w:val="none" w:sz="0" w:space="0" w:color="auto"/>
      </w:divBdr>
    </w:div>
    <w:div w:id="843594816">
      <w:bodyDiv w:val="1"/>
      <w:marLeft w:val="0"/>
      <w:marRight w:val="0"/>
      <w:marTop w:val="0"/>
      <w:marBottom w:val="0"/>
      <w:divBdr>
        <w:top w:val="none" w:sz="0" w:space="0" w:color="auto"/>
        <w:left w:val="none" w:sz="0" w:space="0" w:color="auto"/>
        <w:bottom w:val="none" w:sz="0" w:space="0" w:color="auto"/>
        <w:right w:val="none" w:sz="0" w:space="0" w:color="auto"/>
      </w:divBdr>
    </w:div>
    <w:div w:id="908541607">
      <w:bodyDiv w:val="1"/>
      <w:marLeft w:val="0"/>
      <w:marRight w:val="0"/>
      <w:marTop w:val="0"/>
      <w:marBottom w:val="0"/>
      <w:divBdr>
        <w:top w:val="none" w:sz="0" w:space="0" w:color="auto"/>
        <w:left w:val="none" w:sz="0" w:space="0" w:color="auto"/>
        <w:bottom w:val="none" w:sz="0" w:space="0" w:color="auto"/>
        <w:right w:val="none" w:sz="0" w:space="0" w:color="auto"/>
      </w:divBdr>
    </w:div>
    <w:div w:id="925117819">
      <w:bodyDiv w:val="1"/>
      <w:marLeft w:val="0"/>
      <w:marRight w:val="0"/>
      <w:marTop w:val="0"/>
      <w:marBottom w:val="0"/>
      <w:divBdr>
        <w:top w:val="none" w:sz="0" w:space="0" w:color="auto"/>
        <w:left w:val="none" w:sz="0" w:space="0" w:color="auto"/>
        <w:bottom w:val="none" w:sz="0" w:space="0" w:color="auto"/>
        <w:right w:val="none" w:sz="0" w:space="0" w:color="auto"/>
      </w:divBdr>
    </w:div>
    <w:div w:id="942616616">
      <w:bodyDiv w:val="1"/>
      <w:marLeft w:val="0"/>
      <w:marRight w:val="0"/>
      <w:marTop w:val="0"/>
      <w:marBottom w:val="0"/>
      <w:divBdr>
        <w:top w:val="none" w:sz="0" w:space="0" w:color="auto"/>
        <w:left w:val="none" w:sz="0" w:space="0" w:color="auto"/>
        <w:bottom w:val="none" w:sz="0" w:space="0" w:color="auto"/>
        <w:right w:val="none" w:sz="0" w:space="0" w:color="auto"/>
      </w:divBdr>
    </w:div>
    <w:div w:id="976757960">
      <w:bodyDiv w:val="1"/>
      <w:marLeft w:val="0"/>
      <w:marRight w:val="0"/>
      <w:marTop w:val="0"/>
      <w:marBottom w:val="0"/>
      <w:divBdr>
        <w:top w:val="none" w:sz="0" w:space="0" w:color="auto"/>
        <w:left w:val="none" w:sz="0" w:space="0" w:color="auto"/>
        <w:bottom w:val="none" w:sz="0" w:space="0" w:color="auto"/>
        <w:right w:val="none" w:sz="0" w:space="0" w:color="auto"/>
      </w:divBdr>
    </w:div>
    <w:div w:id="996420023">
      <w:bodyDiv w:val="1"/>
      <w:marLeft w:val="0"/>
      <w:marRight w:val="0"/>
      <w:marTop w:val="0"/>
      <w:marBottom w:val="0"/>
      <w:divBdr>
        <w:top w:val="none" w:sz="0" w:space="0" w:color="auto"/>
        <w:left w:val="none" w:sz="0" w:space="0" w:color="auto"/>
        <w:bottom w:val="none" w:sz="0" w:space="0" w:color="auto"/>
        <w:right w:val="none" w:sz="0" w:space="0" w:color="auto"/>
      </w:divBdr>
    </w:div>
    <w:div w:id="1060863055">
      <w:bodyDiv w:val="1"/>
      <w:marLeft w:val="0"/>
      <w:marRight w:val="0"/>
      <w:marTop w:val="0"/>
      <w:marBottom w:val="0"/>
      <w:divBdr>
        <w:top w:val="none" w:sz="0" w:space="0" w:color="auto"/>
        <w:left w:val="none" w:sz="0" w:space="0" w:color="auto"/>
        <w:bottom w:val="none" w:sz="0" w:space="0" w:color="auto"/>
        <w:right w:val="none" w:sz="0" w:space="0" w:color="auto"/>
      </w:divBdr>
    </w:div>
    <w:div w:id="1112628346">
      <w:bodyDiv w:val="1"/>
      <w:marLeft w:val="0"/>
      <w:marRight w:val="0"/>
      <w:marTop w:val="0"/>
      <w:marBottom w:val="0"/>
      <w:divBdr>
        <w:top w:val="none" w:sz="0" w:space="0" w:color="auto"/>
        <w:left w:val="none" w:sz="0" w:space="0" w:color="auto"/>
        <w:bottom w:val="none" w:sz="0" w:space="0" w:color="auto"/>
        <w:right w:val="none" w:sz="0" w:space="0" w:color="auto"/>
      </w:divBdr>
    </w:div>
    <w:div w:id="1118833785">
      <w:bodyDiv w:val="1"/>
      <w:marLeft w:val="0"/>
      <w:marRight w:val="0"/>
      <w:marTop w:val="0"/>
      <w:marBottom w:val="0"/>
      <w:divBdr>
        <w:top w:val="none" w:sz="0" w:space="0" w:color="auto"/>
        <w:left w:val="none" w:sz="0" w:space="0" w:color="auto"/>
        <w:bottom w:val="none" w:sz="0" w:space="0" w:color="auto"/>
        <w:right w:val="none" w:sz="0" w:space="0" w:color="auto"/>
      </w:divBdr>
    </w:div>
    <w:div w:id="1130778614">
      <w:bodyDiv w:val="1"/>
      <w:marLeft w:val="0"/>
      <w:marRight w:val="0"/>
      <w:marTop w:val="0"/>
      <w:marBottom w:val="0"/>
      <w:divBdr>
        <w:top w:val="none" w:sz="0" w:space="0" w:color="auto"/>
        <w:left w:val="none" w:sz="0" w:space="0" w:color="auto"/>
        <w:bottom w:val="none" w:sz="0" w:space="0" w:color="auto"/>
        <w:right w:val="none" w:sz="0" w:space="0" w:color="auto"/>
      </w:divBdr>
    </w:div>
    <w:div w:id="1136995367">
      <w:bodyDiv w:val="1"/>
      <w:marLeft w:val="0"/>
      <w:marRight w:val="0"/>
      <w:marTop w:val="0"/>
      <w:marBottom w:val="0"/>
      <w:divBdr>
        <w:top w:val="none" w:sz="0" w:space="0" w:color="auto"/>
        <w:left w:val="none" w:sz="0" w:space="0" w:color="auto"/>
        <w:bottom w:val="none" w:sz="0" w:space="0" w:color="auto"/>
        <w:right w:val="none" w:sz="0" w:space="0" w:color="auto"/>
      </w:divBdr>
    </w:div>
    <w:div w:id="1173838756">
      <w:bodyDiv w:val="1"/>
      <w:marLeft w:val="0"/>
      <w:marRight w:val="0"/>
      <w:marTop w:val="0"/>
      <w:marBottom w:val="0"/>
      <w:divBdr>
        <w:top w:val="none" w:sz="0" w:space="0" w:color="auto"/>
        <w:left w:val="none" w:sz="0" w:space="0" w:color="auto"/>
        <w:bottom w:val="none" w:sz="0" w:space="0" w:color="auto"/>
        <w:right w:val="none" w:sz="0" w:space="0" w:color="auto"/>
      </w:divBdr>
    </w:div>
    <w:div w:id="1189946359">
      <w:bodyDiv w:val="1"/>
      <w:marLeft w:val="0"/>
      <w:marRight w:val="0"/>
      <w:marTop w:val="0"/>
      <w:marBottom w:val="0"/>
      <w:divBdr>
        <w:top w:val="none" w:sz="0" w:space="0" w:color="auto"/>
        <w:left w:val="none" w:sz="0" w:space="0" w:color="auto"/>
        <w:bottom w:val="none" w:sz="0" w:space="0" w:color="auto"/>
        <w:right w:val="none" w:sz="0" w:space="0" w:color="auto"/>
      </w:divBdr>
    </w:div>
    <w:div w:id="1198738887">
      <w:bodyDiv w:val="1"/>
      <w:marLeft w:val="0"/>
      <w:marRight w:val="0"/>
      <w:marTop w:val="0"/>
      <w:marBottom w:val="0"/>
      <w:divBdr>
        <w:top w:val="none" w:sz="0" w:space="0" w:color="auto"/>
        <w:left w:val="none" w:sz="0" w:space="0" w:color="auto"/>
        <w:bottom w:val="none" w:sz="0" w:space="0" w:color="auto"/>
        <w:right w:val="none" w:sz="0" w:space="0" w:color="auto"/>
      </w:divBdr>
      <w:divsChild>
        <w:div w:id="221672558">
          <w:marLeft w:val="0"/>
          <w:marRight w:val="0"/>
          <w:marTop w:val="0"/>
          <w:marBottom w:val="0"/>
          <w:divBdr>
            <w:top w:val="none" w:sz="0" w:space="0" w:color="auto"/>
            <w:left w:val="none" w:sz="0" w:space="0" w:color="auto"/>
            <w:bottom w:val="none" w:sz="0" w:space="0" w:color="auto"/>
            <w:right w:val="none" w:sz="0" w:space="0" w:color="auto"/>
          </w:divBdr>
        </w:div>
        <w:div w:id="358044324">
          <w:marLeft w:val="0"/>
          <w:marRight w:val="0"/>
          <w:marTop w:val="0"/>
          <w:marBottom w:val="0"/>
          <w:divBdr>
            <w:top w:val="none" w:sz="0" w:space="0" w:color="auto"/>
            <w:left w:val="none" w:sz="0" w:space="0" w:color="auto"/>
            <w:bottom w:val="none" w:sz="0" w:space="0" w:color="auto"/>
            <w:right w:val="none" w:sz="0" w:space="0" w:color="auto"/>
          </w:divBdr>
        </w:div>
      </w:divsChild>
    </w:div>
    <w:div w:id="1199006496">
      <w:bodyDiv w:val="1"/>
      <w:marLeft w:val="0"/>
      <w:marRight w:val="0"/>
      <w:marTop w:val="0"/>
      <w:marBottom w:val="0"/>
      <w:divBdr>
        <w:top w:val="none" w:sz="0" w:space="0" w:color="auto"/>
        <w:left w:val="none" w:sz="0" w:space="0" w:color="auto"/>
        <w:bottom w:val="none" w:sz="0" w:space="0" w:color="auto"/>
        <w:right w:val="none" w:sz="0" w:space="0" w:color="auto"/>
      </w:divBdr>
    </w:div>
    <w:div w:id="1201867391">
      <w:bodyDiv w:val="1"/>
      <w:marLeft w:val="0"/>
      <w:marRight w:val="0"/>
      <w:marTop w:val="0"/>
      <w:marBottom w:val="0"/>
      <w:divBdr>
        <w:top w:val="none" w:sz="0" w:space="0" w:color="auto"/>
        <w:left w:val="none" w:sz="0" w:space="0" w:color="auto"/>
        <w:bottom w:val="none" w:sz="0" w:space="0" w:color="auto"/>
        <w:right w:val="none" w:sz="0" w:space="0" w:color="auto"/>
      </w:divBdr>
    </w:div>
    <w:div w:id="1213618486">
      <w:bodyDiv w:val="1"/>
      <w:marLeft w:val="0"/>
      <w:marRight w:val="0"/>
      <w:marTop w:val="0"/>
      <w:marBottom w:val="0"/>
      <w:divBdr>
        <w:top w:val="none" w:sz="0" w:space="0" w:color="auto"/>
        <w:left w:val="none" w:sz="0" w:space="0" w:color="auto"/>
        <w:bottom w:val="none" w:sz="0" w:space="0" w:color="auto"/>
        <w:right w:val="none" w:sz="0" w:space="0" w:color="auto"/>
      </w:divBdr>
      <w:divsChild>
        <w:div w:id="825245285">
          <w:marLeft w:val="0"/>
          <w:marRight w:val="0"/>
          <w:marTop w:val="0"/>
          <w:marBottom w:val="0"/>
          <w:divBdr>
            <w:top w:val="none" w:sz="0" w:space="0" w:color="auto"/>
            <w:left w:val="none" w:sz="0" w:space="0" w:color="auto"/>
            <w:bottom w:val="none" w:sz="0" w:space="0" w:color="auto"/>
            <w:right w:val="none" w:sz="0" w:space="0" w:color="auto"/>
          </w:divBdr>
        </w:div>
      </w:divsChild>
    </w:div>
    <w:div w:id="1222641604">
      <w:bodyDiv w:val="1"/>
      <w:marLeft w:val="0"/>
      <w:marRight w:val="0"/>
      <w:marTop w:val="0"/>
      <w:marBottom w:val="0"/>
      <w:divBdr>
        <w:top w:val="none" w:sz="0" w:space="0" w:color="auto"/>
        <w:left w:val="none" w:sz="0" w:space="0" w:color="auto"/>
        <w:bottom w:val="none" w:sz="0" w:space="0" w:color="auto"/>
        <w:right w:val="none" w:sz="0" w:space="0" w:color="auto"/>
      </w:divBdr>
    </w:div>
    <w:div w:id="1223902650">
      <w:bodyDiv w:val="1"/>
      <w:marLeft w:val="0"/>
      <w:marRight w:val="0"/>
      <w:marTop w:val="0"/>
      <w:marBottom w:val="0"/>
      <w:divBdr>
        <w:top w:val="none" w:sz="0" w:space="0" w:color="auto"/>
        <w:left w:val="none" w:sz="0" w:space="0" w:color="auto"/>
        <w:bottom w:val="none" w:sz="0" w:space="0" w:color="auto"/>
        <w:right w:val="none" w:sz="0" w:space="0" w:color="auto"/>
      </w:divBdr>
    </w:div>
    <w:div w:id="1249853429">
      <w:bodyDiv w:val="1"/>
      <w:marLeft w:val="0"/>
      <w:marRight w:val="0"/>
      <w:marTop w:val="0"/>
      <w:marBottom w:val="0"/>
      <w:divBdr>
        <w:top w:val="none" w:sz="0" w:space="0" w:color="auto"/>
        <w:left w:val="none" w:sz="0" w:space="0" w:color="auto"/>
        <w:bottom w:val="none" w:sz="0" w:space="0" w:color="auto"/>
        <w:right w:val="none" w:sz="0" w:space="0" w:color="auto"/>
      </w:divBdr>
    </w:div>
    <w:div w:id="1251234422">
      <w:bodyDiv w:val="1"/>
      <w:marLeft w:val="0"/>
      <w:marRight w:val="0"/>
      <w:marTop w:val="0"/>
      <w:marBottom w:val="0"/>
      <w:divBdr>
        <w:top w:val="none" w:sz="0" w:space="0" w:color="auto"/>
        <w:left w:val="none" w:sz="0" w:space="0" w:color="auto"/>
        <w:bottom w:val="none" w:sz="0" w:space="0" w:color="auto"/>
        <w:right w:val="none" w:sz="0" w:space="0" w:color="auto"/>
      </w:divBdr>
    </w:div>
    <w:div w:id="1261336077">
      <w:bodyDiv w:val="1"/>
      <w:marLeft w:val="0"/>
      <w:marRight w:val="0"/>
      <w:marTop w:val="0"/>
      <w:marBottom w:val="0"/>
      <w:divBdr>
        <w:top w:val="none" w:sz="0" w:space="0" w:color="auto"/>
        <w:left w:val="none" w:sz="0" w:space="0" w:color="auto"/>
        <w:bottom w:val="none" w:sz="0" w:space="0" w:color="auto"/>
        <w:right w:val="none" w:sz="0" w:space="0" w:color="auto"/>
      </w:divBdr>
    </w:div>
    <w:div w:id="1290740060">
      <w:bodyDiv w:val="1"/>
      <w:marLeft w:val="0"/>
      <w:marRight w:val="0"/>
      <w:marTop w:val="0"/>
      <w:marBottom w:val="0"/>
      <w:divBdr>
        <w:top w:val="none" w:sz="0" w:space="0" w:color="auto"/>
        <w:left w:val="none" w:sz="0" w:space="0" w:color="auto"/>
        <w:bottom w:val="none" w:sz="0" w:space="0" w:color="auto"/>
        <w:right w:val="none" w:sz="0" w:space="0" w:color="auto"/>
      </w:divBdr>
    </w:div>
    <w:div w:id="1293091860">
      <w:bodyDiv w:val="1"/>
      <w:marLeft w:val="0"/>
      <w:marRight w:val="0"/>
      <w:marTop w:val="0"/>
      <w:marBottom w:val="0"/>
      <w:divBdr>
        <w:top w:val="none" w:sz="0" w:space="0" w:color="auto"/>
        <w:left w:val="none" w:sz="0" w:space="0" w:color="auto"/>
        <w:bottom w:val="none" w:sz="0" w:space="0" w:color="auto"/>
        <w:right w:val="none" w:sz="0" w:space="0" w:color="auto"/>
      </w:divBdr>
    </w:div>
    <w:div w:id="1334456008">
      <w:bodyDiv w:val="1"/>
      <w:marLeft w:val="0"/>
      <w:marRight w:val="0"/>
      <w:marTop w:val="0"/>
      <w:marBottom w:val="0"/>
      <w:divBdr>
        <w:top w:val="none" w:sz="0" w:space="0" w:color="auto"/>
        <w:left w:val="none" w:sz="0" w:space="0" w:color="auto"/>
        <w:bottom w:val="none" w:sz="0" w:space="0" w:color="auto"/>
        <w:right w:val="none" w:sz="0" w:space="0" w:color="auto"/>
      </w:divBdr>
    </w:div>
    <w:div w:id="1359695795">
      <w:bodyDiv w:val="1"/>
      <w:marLeft w:val="0"/>
      <w:marRight w:val="0"/>
      <w:marTop w:val="0"/>
      <w:marBottom w:val="0"/>
      <w:divBdr>
        <w:top w:val="none" w:sz="0" w:space="0" w:color="auto"/>
        <w:left w:val="none" w:sz="0" w:space="0" w:color="auto"/>
        <w:bottom w:val="none" w:sz="0" w:space="0" w:color="auto"/>
        <w:right w:val="none" w:sz="0" w:space="0" w:color="auto"/>
      </w:divBdr>
    </w:div>
    <w:div w:id="1376857571">
      <w:bodyDiv w:val="1"/>
      <w:marLeft w:val="0"/>
      <w:marRight w:val="0"/>
      <w:marTop w:val="0"/>
      <w:marBottom w:val="0"/>
      <w:divBdr>
        <w:top w:val="none" w:sz="0" w:space="0" w:color="auto"/>
        <w:left w:val="none" w:sz="0" w:space="0" w:color="auto"/>
        <w:bottom w:val="none" w:sz="0" w:space="0" w:color="auto"/>
        <w:right w:val="none" w:sz="0" w:space="0" w:color="auto"/>
      </w:divBdr>
    </w:div>
    <w:div w:id="1402556376">
      <w:bodyDiv w:val="1"/>
      <w:marLeft w:val="0"/>
      <w:marRight w:val="0"/>
      <w:marTop w:val="0"/>
      <w:marBottom w:val="0"/>
      <w:divBdr>
        <w:top w:val="none" w:sz="0" w:space="0" w:color="auto"/>
        <w:left w:val="none" w:sz="0" w:space="0" w:color="auto"/>
        <w:bottom w:val="none" w:sz="0" w:space="0" w:color="auto"/>
        <w:right w:val="none" w:sz="0" w:space="0" w:color="auto"/>
      </w:divBdr>
    </w:div>
    <w:div w:id="1442260571">
      <w:bodyDiv w:val="1"/>
      <w:marLeft w:val="0"/>
      <w:marRight w:val="0"/>
      <w:marTop w:val="0"/>
      <w:marBottom w:val="0"/>
      <w:divBdr>
        <w:top w:val="none" w:sz="0" w:space="0" w:color="auto"/>
        <w:left w:val="none" w:sz="0" w:space="0" w:color="auto"/>
        <w:bottom w:val="none" w:sz="0" w:space="0" w:color="auto"/>
        <w:right w:val="none" w:sz="0" w:space="0" w:color="auto"/>
      </w:divBdr>
    </w:div>
    <w:div w:id="1449549036">
      <w:bodyDiv w:val="1"/>
      <w:marLeft w:val="0"/>
      <w:marRight w:val="0"/>
      <w:marTop w:val="0"/>
      <w:marBottom w:val="0"/>
      <w:divBdr>
        <w:top w:val="none" w:sz="0" w:space="0" w:color="auto"/>
        <w:left w:val="none" w:sz="0" w:space="0" w:color="auto"/>
        <w:bottom w:val="none" w:sz="0" w:space="0" w:color="auto"/>
        <w:right w:val="none" w:sz="0" w:space="0" w:color="auto"/>
      </w:divBdr>
    </w:div>
    <w:div w:id="1450394518">
      <w:bodyDiv w:val="1"/>
      <w:marLeft w:val="0"/>
      <w:marRight w:val="0"/>
      <w:marTop w:val="0"/>
      <w:marBottom w:val="0"/>
      <w:divBdr>
        <w:top w:val="none" w:sz="0" w:space="0" w:color="auto"/>
        <w:left w:val="none" w:sz="0" w:space="0" w:color="auto"/>
        <w:bottom w:val="none" w:sz="0" w:space="0" w:color="auto"/>
        <w:right w:val="none" w:sz="0" w:space="0" w:color="auto"/>
      </w:divBdr>
    </w:div>
    <w:div w:id="1493832472">
      <w:bodyDiv w:val="1"/>
      <w:marLeft w:val="0"/>
      <w:marRight w:val="0"/>
      <w:marTop w:val="0"/>
      <w:marBottom w:val="0"/>
      <w:divBdr>
        <w:top w:val="none" w:sz="0" w:space="0" w:color="auto"/>
        <w:left w:val="none" w:sz="0" w:space="0" w:color="auto"/>
        <w:bottom w:val="none" w:sz="0" w:space="0" w:color="auto"/>
        <w:right w:val="none" w:sz="0" w:space="0" w:color="auto"/>
      </w:divBdr>
    </w:div>
    <w:div w:id="1494564545">
      <w:bodyDiv w:val="1"/>
      <w:marLeft w:val="0"/>
      <w:marRight w:val="0"/>
      <w:marTop w:val="0"/>
      <w:marBottom w:val="0"/>
      <w:divBdr>
        <w:top w:val="none" w:sz="0" w:space="0" w:color="auto"/>
        <w:left w:val="none" w:sz="0" w:space="0" w:color="auto"/>
        <w:bottom w:val="none" w:sz="0" w:space="0" w:color="auto"/>
        <w:right w:val="none" w:sz="0" w:space="0" w:color="auto"/>
      </w:divBdr>
    </w:div>
    <w:div w:id="1505895713">
      <w:bodyDiv w:val="1"/>
      <w:marLeft w:val="0"/>
      <w:marRight w:val="0"/>
      <w:marTop w:val="0"/>
      <w:marBottom w:val="0"/>
      <w:divBdr>
        <w:top w:val="none" w:sz="0" w:space="0" w:color="auto"/>
        <w:left w:val="none" w:sz="0" w:space="0" w:color="auto"/>
        <w:bottom w:val="none" w:sz="0" w:space="0" w:color="auto"/>
        <w:right w:val="none" w:sz="0" w:space="0" w:color="auto"/>
      </w:divBdr>
    </w:div>
    <w:div w:id="1516576765">
      <w:bodyDiv w:val="1"/>
      <w:marLeft w:val="0"/>
      <w:marRight w:val="0"/>
      <w:marTop w:val="0"/>
      <w:marBottom w:val="0"/>
      <w:divBdr>
        <w:top w:val="none" w:sz="0" w:space="0" w:color="auto"/>
        <w:left w:val="none" w:sz="0" w:space="0" w:color="auto"/>
        <w:bottom w:val="none" w:sz="0" w:space="0" w:color="auto"/>
        <w:right w:val="none" w:sz="0" w:space="0" w:color="auto"/>
      </w:divBdr>
    </w:div>
    <w:div w:id="1531993127">
      <w:bodyDiv w:val="1"/>
      <w:marLeft w:val="0"/>
      <w:marRight w:val="0"/>
      <w:marTop w:val="0"/>
      <w:marBottom w:val="0"/>
      <w:divBdr>
        <w:top w:val="none" w:sz="0" w:space="0" w:color="auto"/>
        <w:left w:val="none" w:sz="0" w:space="0" w:color="auto"/>
        <w:bottom w:val="none" w:sz="0" w:space="0" w:color="auto"/>
        <w:right w:val="none" w:sz="0" w:space="0" w:color="auto"/>
      </w:divBdr>
    </w:div>
    <w:div w:id="1534683676">
      <w:bodyDiv w:val="1"/>
      <w:marLeft w:val="0"/>
      <w:marRight w:val="0"/>
      <w:marTop w:val="0"/>
      <w:marBottom w:val="0"/>
      <w:divBdr>
        <w:top w:val="none" w:sz="0" w:space="0" w:color="auto"/>
        <w:left w:val="none" w:sz="0" w:space="0" w:color="auto"/>
        <w:bottom w:val="none" w:sz="0" w:space="0" w:color="auto"/>
        <w:right w:val="none" w:sz="0" w:space="0" w:color="auto"/>
      </w:divBdr>
    </w:div>
    <w:div w:id="1534732201">
      <w:bodyDiv w:val="1"/>
      <w:marLeft w:val="0"/>
      <w:marRight w:val="0"/>
      <w:marTop w:val="0"/>
      <w:marBottom w:val="0"/>
      <w:divBdr>
        <w:top w:val="none" w:sz="0" w:space="0" w:color="auto"/>
        <w:left w:val="none" w:sz="0" w:space="0" w:color="auto"/>
        <w:bottom w:val="none" w:sz="0" w:space="0" w:color="auto"/>
        <w:right w:val="none" w:sz="0" w:space="0" w:color="auto"/>
      </w:divBdr>
    </w:div>
    <w:div w:id="1653942278">
      <w:bodyDiv w:val="1"/>
      <w:marLeft w:val="0"/>
      <w:marRight w:val="0"/>
      <w:marTop w:val="0"/>
      <w:marBottom w:val="0"/>
      <w:divBdr>
        <w:top w:val="none" w:sz="0" w:space="0" w:color="auto"/>
        <w:left w:val="none" w:sz="0" w:space="0" w:color="auto"/>
        <w:bottom w:val="none" w:sz="0" w:space="0" w:color="auto"/>
        <w:right w:val="none" w:sz="0" w:space="0" w:color="auto"/>
      </w:divBdr>
    </w:div>
    <w:div w:id="1657105726">
      <w:bodyDiv w:val="1"/>
      <w:marLeft w:val="0"/>
      <w:marRight w:val="0"/>
      <w:marTop w:val="0"/>
      <w:marBottom w:val="0"/>
      <w:divBdr>
        <w:top w:val="none" w:sz="0" w:space="0" w:color="auto"/>
        <w:left w:val="none" w:sz="0" w:space="0" w:color="auto"/>
        <w:bottom w:val="none" w:sz="0" w:space="0" w:color="auto"/>
        <w:right w:val="none" w:sz="0" w:space="0" w:color="auto"/>
      </w:divBdr>
    </w:div>
    <w:div w:id="1661082164">
      <w:bodyDiv w:val="1"/>
      <w:marLeft w:val="0"/>
      <w:marRight w:val="0"/>
      <w:marTop w:val="0"/>
      <w:marBottom w:val="0"/>
      <w:divBdr>
        <w:top w:val="none" w:sz="0" w:space="0" w:color="auto"/>
        <w:left w:val="none" w:sz="0" w:space="0" w:color="auto"/>
        <w:bottom w:val="none" w:sz="0" w:space="0" w:color="auto"/>
        <w:right w:val="none" w:sz="0" w:space="0" w:color="auto"/>
      </w:divBdr>
    </w:div>
    <w:div w:id="1668823431">
      <w:bodyDiv w:val="1"/>
      <w:marLeft w:val="0"/>
      <w:marRight w:val="0"/>
      <w:marTop w:val="0"/>
      <w:marBottom w:val="0"/>
      <w:divBdr>
        <w:top w:val="none" w:sz="0" w:space="0" w:color="auto"/>
        <w:left w:val="none" w:sz="0" w:space="0" w:color="auto"/>
        <w:bottom w:val="none" w:sz="0" w:space="0" w:color="auto"/>
        <w:right w:val="none" w:sz="0" w:space="0" w:color="auto"/>
      </w:divBdr>
    </w:div>
    <w:div w:id="1686007672">
      <w:bodyDiv w:val="1"/>
      <w:marLeft w:val="0"/>
      <w:marRight w:val="0"/>
      <w:marTop w:val="0"/>
      <w:marBottom w:val="0"/>
      <w:divBdr>
        <w:top w:val="none" w:sz="0" w:space="0" w:color="auto"/>
        <w:left w:val="none" w:sz="0" w:space="0" w:color="auto"/>
        <w:bottom w:val="none" w:sz="0" w:space="0" w:color="auto"/>
        <w:right w:val="none" w:sz="0" w:space="0" w:color="auto"/>
      </w:divBdr>
    </w:div>
    <w:div w:id="1726640877">
      <w:bodyDiv w:val="1"/>
      <w:marLeft w:val="0"/>
      <w:marRight w:val="0"/>
      <w:marTop w:val="0"/>
      <w:marBottom w:val="0"/>
      <w:divBdr>
        <w:top w:val="none" w:sz="0" w:space="0" w:color="auto"/>
        <w:left w:val="none" w:sz="0" w:space="0" w:color="auto"/>
        <w:bottom w:val="none" w:sz="0" w:space="0" w:color="auto"/>
        <w:right w:val="none" w:sz="0" w:space="0" w:color="auto"/>
      </w:divBdr>
    </w:div>
    <w:div w:id="1790389314">
      <w:bodyDiv w:val="1"/>
      <w:marLeft w:val="0"/>
      <w:marRight w:val="0"/>
      <w:marTop w:val="0"/>
      <w:marBottom w:val="0"/>
      <w:divBdr>
        <w:top w:val="none" w:sz="0" w:space="0" w:color="auto"/>
        <w:left w:val="none" w:sz="0" w:space="0" w:color="auto"/>
        <w:bottom w:val="none" w:sz="0" w:space="0" w:color="auto"/>
        <w:right w:val="none" w:sz="0" w:space="0" w:color="auto"/>
      </w:divBdr>
    </w:div>
    <w:div w:id="1806316710">
      <w:bodyDiv w:val="1"/>
      <w:marLeft w:val="0"/>
      <w:marRight w:val="0"/>
      <w:marTop w:val="0"/>
      <w:marBottom w:val="0"/>
      <w:divBdr>
        <w:top w:val="none" w:sz="0" w:space="0" w:color="auto"/>
        <w:left w:val="none" w:sz="0" w:space="0" w:color="auto"/>
        <w:bottom w:val="none" w:sz="0" w:space="0" w:color="auto"/>
        <w:right w:val="none" w:sz="0" w:space="0" w:color="auto"/>
      </w:divBdr>
    </w:div>
    <w:div w:id="1818104850">
      <w:bodyDiv w:val="1"/>
      <w:marLeft w:val="0"/>
      <w:marRight w:val="0"/>
      <w:marTop w:val="0"/>
      <w:marBottom w:val="0"/>
      <w:divBdr>
        <w:top w:val="none" w:sz="0" w:space="0" w:color="auto"/>
        <w:left w:val="none" w:sz="0" w:space="0" w:color="auto"/>
        <w:bottom w:val="none" w:sz="0" w:space="0" w:color="auto"/>
        <w:right w:val="none" w:sz="0" w:space="0" w:color="auto"/>
      </w:divBdr>
    </w:div>
    <w:div w:id="1851873819">
      <w:bodyDiv w:val="1"/>
      <w:marLeft w:val="0"/>
      <w:marRight w:val="0"/>
      <w:marTop w:val="0"/>
      <w:marBottom w:val="0"/>
      <w:divBdr>
        <w:top w:val="none" w:sz="0" w:space="0" w:color="auto"/>
        <w:left w:val="none" w:sz="0" w:space="0" w:color="auto"/>
        <w:bottom w:val="none" w:sz="0" w:space="0" w:color="auto"/>
        <w:right w:val="none" w:sz="0" w:space="0" w:color="auto"/>
      </w:divBdr>
    </w:div>
    <w:div w:id="1869298617">
      <w:bodyDiv w:val="1"/>
      <w:marLeft w:val="0"/>
      <w:marRight w:val="0"/>
      <w:marTop w:val="0"/>
      <w:marBottom w:val="0"/>
      <w:divBdr>
        <w:top w:val="none" w:sz="0" w:space="0" w:color="auto"/>
        <w:left w:val="none" w:sz="0" w:space="0" w:color="auto"/>
        <w:bottom w:val="none" w:sz="0" w:space="0" w:color="auto"/>
        <w:right w:val="none" w:sz="0" w:space="0" w:color="auto"/>
      </w:divBdr>
    </w:div>
    <w:div w:id="1931154438">
      <w:bodyDiv w:val="1"/>
      <w:marLeft w:val="0"/>
      <w:marRight w:val="0"/>
      <w:marTop w:val="0"/>
      <w:marBottom w:val="0"/>
      <w:divBdr>
        <w:top w:val="none" w:sz="0" w:space="0" w:color="auto"/>
        <w:left w:val="none" w:sz="0" w:space="0" w:color="auto"/>
        <w:bottom w:val="none" w:sz="0" w:space="0" w:color="auto"/>
        <w:right w:val="none" w:sz="0" w:space="0" w:color="auto"/>
      </w:divBdr>
    </w:div>
    <w:div w:id="1933317142">
      <w:bodyDiv w:val="1"/>
      <w:marLeft w:val="0"/>
      <w:marRight w:val="0"/>
      <w:marTop w:val="0"/>
      <w:marBottom w:val="0"/>
      <w:divBdr>
        <w:top w:val="none" w:sz="0" w:space="0" w:color="auto"/>
        <w:left w:val="none" w:sz="0" w:space="0" w:color="auto"/>
        <w:bottom w:val="none" w:sz="0" w:space="0" w:color="auto"/>
        <w:right w:val="none" w:sz="0" w:space="0" w:color="auto"/>
      </w:divBdr>
      <w:divsChild>
        <w:div w:id="1688871438">
          <w:marLeft w:val="0"/>
          <w:marRight w:val="0"/>
          <w:marTop w:val="0"/>
          <w:marBottom w:val="0"/>
          <w:divBdr>
            <w:top w:val="none" w:sz="0" w:space="0" w:color="auto"/>
            <w:left w:val="none" w:sz="0" w:space="0" w:color="auto"/>
            <w:bottom w:val="none" w:sz="0" w:space="0" w:color="auto"/>
            <w:right w:val="none" w:sz="0" w:space="0" w:color="auto"/>
          </w:divBdr>
        </w:div>
      </w:divsChild>
    </w:div>
    <w:div w:id="1935237040">
      <w:bodyDiv w:val="1"/>
      <w:marLeft w:val="0"/>
      <w:marRight w:val="0"/>
      <w:marTop w:val="0"/>
      <w:marBottom w:val="0"/>
      <w:divBdr>
        <w:top w:val="none" w:sz="0" w:space="0" w:color="auto"/>
        <w:left w:val="none" w:sz="0" w:space="0" w:color="auto"/>
        <w:bottom w:val="none" w:sz="0" w:space="0" w:color="auto"/>
        <w:right w:val="none" w:sz="0" w:space="0" w:color="auto"/>
      </w:divBdr>
    </w:div>
    <w:div w:id="1938367315">
      <w:bodyDiv w:val="1"/>
      <w:marLeft w:val="0"/>
      <w:marRight w:val="0"/>
      <w:marTop w:val="0"/>
      <w:marBottom w:val="0"/>
      <w:divBdr>
        <w:top w:val="none" w:sz="0" w:space="0" w:color="auto"/>
        <w:left w:val="none" w:sz="0" w:space="0" w:color="auto"/>
        <w:bottom w:val="none" w:sz="0" w:space="0" w:color="auto"/>
        <w:right w:val="none" w:sz="0" w:space="0" w:color="auto"/>
      </w:divBdr>
    </w:div>
    <w:div w:id="1954627751">
      <w:bodyDiv w:val="1"/>
      <w:marLeft w:val="0"/>
      <w:marRight w:val="0"/>
      <w:marTop w:val="0"/>
      <w:marBottom w:val="0"/>
      <w:divBdr>
        <w:top w:val="none" w:sz="0" w:space="0" w:color="auto"/>
        <w:left w:val="none" w:sz="0" w:space="0" w:color="auto"/>
        <w:bottom w:val="none" w:sz="0" w:space="0" w:color="auto"/>
        <w:right w:val="none" w:sz="0" w:space="0" w:color="auto"/>
      </w:divBdr>
    </w:div>
    <w:div w:id="1968392845">
      <w:bodyDiv w:val="1"/>
      <w:marLeft w:val="0"/>
      <w:marRight w:val="0"/>
      <w:marTop w:val="0"/>
      <w:marBottom w:val="0"/>
      <w:divBdr>
        <w:top w:val="none" w:sz="0" w:space="0" w:color="auto"/>
        <w:left w:val="none" w:sz="0" w:space="0" w:color="auto"/>
        <w:bottom w:val="none" w:sz="0" w:space="0" w:color="auto"/>
        <w:right w:val="none" w:sz="0" w:space="0" w:color="auto"/>
      </w:divBdr>
    </w:div>
    <w:div w:id="1977952007">
      <w:bodyDiv w:val="1"/>
      <w:marLeft w:val="0"/>
      <w:marRight w:val="0"/>
      <w:marTop w:val="0"/>
      <w:marBottom w:val="0"/>
      <w:divBdr>
        <w:top w:val="none" w:sz="0" w:space="0" w:color="auto"/>
        <w:left w:val="none" w:sz="0" w:space="0" w:color="auto"/>
        <w:bottom w:val="none" w:sz="0" w:space="0" w:color="auto"/>
        <w:right w:val="none" w:sz="0" w:space="0" w:color="auto"/>
      </w:divBdr>
    </w:div>
    <w:div w:id="1984694338">
      <w:bodyDiv w:val="1"/>
      <w:marLeft w:val="0"/>
      <w:marRight w:val="0"/>
      <w:marTop w:val="0"/>
      <w:marBottom w:val="0"/>
      <w:divBdr>
        <w:top w:val="none" w:sz="0" w:space="0" w:color="auto"/>
        <w:left w:val="none" w:sz="0" w:space="0" w:color="auto"/>
        <w:bottom w:val="none" w:sz="0" w:space="0" w:color="auto"/>
        <w:right w:val="none" w:sz="0" w:space="0" w:color="auto"/>
      </w:divBdr>
    </w:div>
    <w:div w:id="2016029782">
      <w:bodyDiv w:val="1"/>
      <w:marLeft w:val="0"/>
      <w:marRight w:val="0"/>
      <w:marTop w:val="0"/>
      <w:marBottom w:val="0"/>
      <w:divBdr>
        <w:top w:val="none" w:sz="0" w:space="0" w:color="auto"/>
        <w:left w:val="none" w:sz="0" w:space="0" w:color="auto"/>
        <w:bottom w:val="none" w:sz="0" w:space="0" w:color="auto"/>
        <w:right w:val="none" w:sz="0" w:space="0" w:color="auto"/>
      </w:divBdr>
    </w:div>
    <w:div w:id="2019577775">
      <w:bodyDiv w:val="1"/>
      <w:marLeft w:val="0"/>
      <w:marRight w:val="0"/>
      <w:marTop w:val="0"/>
      <w:marBottom w:val="0"/>
      <w:divBdr>
        <w:top w:val="none" w:sz="0" w:space="0" w:color="auto"/>
        <w:left w:val="none" w:sz="0" w:space="0" w:color="auto"/>
        <w:bottom w:val="none" w:sz="0" w:space="0" w:color="auto"/>
        <w:right w:val="none" w:sz="0" w:space="0" w:color="auto"/>
      </w:divBdr>
      <w:divsChild>
        <w:div w:id="1249072911">
          <w:marLeft w:val="0"/>
          <w:marRight w:val="0"/>
          <w:marTop w:val="0"/>
          <w:marBottom w:val="0"/>
          <w:divBdr>
            <w:top w:val="none" w:sz="0" w:space="0" w:color="auto"/>
            <w:left w:val="none" w:sz="0" w:space="0" w:color="auto"/>
            <w:bottom w:val="none" w:sz="0" w:space="0" w:color="auto"/>
            <w:right w:val="none" w:sz="0" w:space="0" w:color="auto"/>
          </w:divBdr>
          <w:divsChild>
            <w:div w:id="1886289220">
              <w:marLeft w:val="0"/>
              <w:marRight w:val="0"/>
              <w:marTop w:val="0"/>
              <w:marBottom w:val="0"/>
              <w:divBdr>
                <w:top w:val="none" w:sz="0" w:space="0" w:color="auto"/>
                <w:left w:val="none" w:sz="0" w:space="0" w:color="auto"/>
                <w:bottom w:val="none" w:sz="0" w:space="0" w:color="auto"/>
                <w:right w:val="none" w:sz="0" w:space="0" w:color="auto"/>
              </w:divBdr>
              <w:divsChild>
                <w:div w:id="11526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02433">
      <w:bodyDiv w:val="1"/>
      <w:marLeft w:val="0"/>
      <w:marRight w:val="0"/>
      <w:marTop w:val="0"/>
      <w:marBottom w:val="0"/>
      <w:divBdr>
        <w:top w:val="none" w:sz="0" w:space="0" w:color="auto"/>
        <w:left w:val="none" w:sz="0" w:space="0" w:color="auto"/>
        <w:bottom w:val="none" w:sz="0" w:space="0" w:color="auto"/>
        <w:right w:val="none" w:sz="0" w:space="0" w:color="auto"/>
      </w:divBdr>
    </w:div>
    <w:div w:id="2032758298">
      <w:bodyDiv w:val="1"/>
      <w:marLeft w:val="0"/>
      <w:marRight w:val="0"/>
      <w:marTop w:val="0"/>
      <w:marBottom w:val="0"/>
      <w:divBdr>
        <w:top w:val="none" w:sz="0" w:space="0" w:color="auto"/>
        <w:left w:val="none" w:sz="0" w:space="0" w:color="auto"/>
        <w:bottom w:val="none" w:sz="0" w:space="0" w:color="auto"/>
        <w:right w:val="none" w:sz="0" w:space="0" w:color="auto"/>
      </w:divBdr>
    </w:div>
    <w:div w:id="2033920091">
      <w:bodyDiv w:val="1"/>
      <w:marLeft w:val="0"/>
      <w:marRight w:val="0"/>
      <w:marTop w:val="0"/>
      <w:marBottom w:val="0"/>
      <w:divBdr>
        <w:top w:val="none" w:sz="0" w:space="0" w:color="auto"/>
        <w:left w:val="none" w:sz="0" w:space="0" w:color="auto"/>
        <w:bottom w:val="none" w:sz="0" w:space="0" w:color="auto"/>
        <w:right w:val="none" w:sz="0" w:space="0" w:color="auto"/>
      </w:divBdr>
    </w:div>
    <w:div w:id="2039156510">
      <w:bodyDiv w:val="1"/>
      <w:marLeft w:val="0"/>
      <w:marRight w:val="0"/>
      <w:marTop w:val="0"/>
      <w:marBottom w:val="0"/>
      <w:divBdr>
        <w:top w:val="none" w:sz="0" w:space="0" w:color="auto"/>
        <w:left w:val="none" w:sz="0" w:space="0" w:color="auto"/>
        <w:bottom w:val="none" w:sz="0" w:space="0" w:color="auto"/>
        <w:right w:val="none" w:sz="0" w:space="0" w:color="auto"/>
      </w:divBdr>
    </w:div>
    <w:div w:id="2051493417">
      <w:bodyDiv w:val="1"/>
      <w:marLeft w:val="0"/>
      <w:marRight w:val="0"/>
      <w:marTop w:val="0"/>
      <w:marBottom w:val="0"/>
      <w:divBdr>
        <w:top w:val="none" w:sz="0" w:space="0" w:color="auto"/>
        <w:left w:val="none" w:sz="0" w:space="0" w:color="auto"/>
        <w:bottom w:val="none" w:sz="0" w:space="0" w:color="auto"/>
        <w:right w:val="none" w:sz="0" w:space="0" w:color="auto"/>
      </w:divBdr>
      <w:divsChild>
        <w:div w:id="1224636347">
          <w:marLeft w:val="0"/>
          <w:marRight w:val="0"/>
          <w:marTop w:val="0"/>
          <w:marBottom w:val="0"/>
          <w:divBdr>
            <w:top w:val="none" w:sz="0" w:space="0" w:color="auto"/>
            <w:left w:val="none" w:sz="0" w:space="0" w:color="auto"/>
            <w:bottom w:val="none" w:sz="0" w:space="0" w:color="auto"/>
            <w:right w:val="none" w:sz="0" w:space="0" w:color="auto"/>
          </w:divBdr>
        </w:div>
      </w:divsChild>
    </w:div>
    <w:div w:id="2074422185">
      <w:bodyDiv w:val="1"/>
      <w:marLeft w:val="0"/>
      <w:marRight w:val="0"/>
      <w:marTop w:val="0"/>
      <w:marBottom w:val="0"/>
      <w:divBdr>
        <w:top w:val="none" w:sz="0" w:space="0" w:color="auto"/>
        <w:left w:val="none" w:sz="0" w:space="0" w:color="auto"/>
        <w:bottom w:val="none" w:sz="0" w:space="0" w:color="auto"/>
        <w:right w:val="none" w:sz="0" w:space="0" w:color="auto"/>
      </w:divBdr>
    </w:div>
    <w:div w:id="2074573010">
      <w:bodyDiv w:val="1"/>
      <w:marLeft w:val="0"/>
      <w:marRight w:val="0"/>
      <w:marTop w:val="0"/>
      <w:marBottom w:val="0"/>
      <w:divBdr>
        <w:top w:val="none" w:sz="0" w:space="0" w:color="auto"/>
        <w:left w:val="none" w:sz="0" w:space="0" w:color="auto"/>
        <w:bottom w:val="none" w:sz="0" w:space="0" w:color="auto"/>
        <w:right w:val="none" w:sz="0" w:space="0" w:color="auto"/>
      </w:divBdr>
    </w:div>
    <w:div w:id="2075619355">
      <w:bodyDiv w:val="1"/>
      <w:marLeft w:val="0"/>
      <w:marRight w:val="0"/>
      <w:marTop w:val="0"/>
      <w:marBottom w:val="0"/>
      <w:divBdr>
        <w:top w:val="none" w:sz="0" w:space="0" w:color="auto"/>
        <w:left w:val="none" w:sz="0" w:space="0" w:color="auto"/>
        <w:bottom w:val="none" w:sz="0" w:space="0" w:color="auto"/>
        <w:right w:val="none" w:sz="0" w:space="0" w:color="auto"/>
      </w:divBdr>
    </w:div>
    <w:div w:id="2082409790">
      <w:bodyDiv w:val="1"/>
      <w:marLeft w:val="0"/>
      <w:marRight w:val="0"/>
      <w:marTop w:val="0"/>
      <w:marBottom w:val="0"/>
      <w:divBdr>
        <w:top w:val="none" w:sz="0" w:space="0" w:color="auto"/>
        <w:left w:val="none" w:sz="0" w:space="0" w:color="auto"/>
        <w:bottom w:val="none" w:sz="0" w:space="0" w:color="auto"/>
        <w:right w:val="none" w:sz="0" w:space="0" w:color="auto"/>
      </w:divBdr>
    </w:div>
    <w:div w:id="2082867513">
      <w:bodyDiv w:val="1"/>
      <w:marLeft w:val="0"/>
      <w:marRight w:val="0"/>
      <w:marTop w:val="0"/>
      <w:marBottom w:val="0"/>
      <w:divBdr>
        <w:top w:val="none" w:sz="0" w:space="0" w:color="auto"/>
        <w:left w:val="none" w:sz="0" w:space="0" w:color="auto"/>
        <w:bottom w:val="none" w:sz="0" w:space="0" w:color="auto"/>
        <w:right w:val="none" w:sz="0" w:space="0" w:color="auto"/>
      </w:divBdr>
    </w:div>
    <w:div w:id="2118482350">
      <w:bodyDiv w:val="1"/>
      <w:marLeft w:val="0"/>
      <w:marRight w:val="0"/>
      <w:marTop w:val="0"/>
      <w:marBottom w:val="0"/>
      <w:divBdr>
        <w:top w:val="none" w:sz="0" w:space="0" w:color="auto"/>
        <w:left w:val="none" w:sz="0" w:space="0" w:color="auto"/>
        <w:bottom w:val="none" w:sz="0" w:space="0" w:color="auto"/>
        <w:right w:val="none" w:sz="0" w:space="0" w:color="auto"/>
      </w:divBdr>
    </w:div>
    <w:div w:id="213281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ascopubs.org/doi/abs/10.1200/JCO.21.0027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E19ED-FD11-3948-B749-BD209105F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17802</Words>
  <Characters>101473</Characters>
  <Application>Microsoft Office Word</Application>
  <DocSecurity>0</DocSecurity>
  <Lines>845</Lines>
  <Paragraphs>238</Paragraphs>
  <ScaleCrop>false</ScaleCrop>
  <Company/>
  <LinksUpToDate>false</LinksUpToDate>
  <CharactersWithSpaces>119037</CharactersWithSpaces>
  <SharedDoc>false</SharedDoc>
  <HLinks>
    <vt:vector size="6" baseType="variant">
      <vt:variant>
        <vt:i4>2031694</vt:i4>
      </vt:variant>
      <vt:variant>
        <vt:i4>0</vt:i4>
      </vt:variant>
      <vt:variant>
        <vt:i4>0</vt:i4>
      </vt:variant>
      <vt:variant>
        <vt:i4>5</vt:i4>
      </vt:variant>
      <vt:variant>
        <vt:lpwstr>https://ascopubs.org/doi/abs/10.1200/JCO.21.00278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Nash</dc:creator>
  <cp:keywords/>
  <dc:description/>
  <cp:lastModifiedBy>Three Shlien</cp:lastModifiedBy>
  <cp:revision>1437</cp:revision>
  <dcterms:created xsi:type="dcterms:W3CDTF">2021-04-01T02:18:00Z</dcterms:created>
  <dcterms:modified xsi:type="dcterms:W3CDTF">2021-12-09T12:55:00Z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http://www.zotero.org/styles/acs-chemical-neuroscience</vt:lpwstr>
  </property>
  <property fmtid="{D5CDD505-2E9C-101B-9397-08002B2CF9AE}" pid="3" name="Mendeley Recent Style Name 0_1">
    <vt:lpwstr>ACS Chemical Neuroscience</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6a69f3e3-3f3f-3613-a95c-0fe54e654586</vt:lpwstr>
  </property>
  <property fmtid="{D5CDD505-2E9C-101B-9397-08002B2CF9AE}" pid="24" name="Mendeley Citation Style_1">
    <vt:lpwstr>http://www.zotero.org/styles/ieee</vt:lpwstr>
  </property>
  <property fmtid="{D5CDD505-2E9C-101B-9397-08002B2CF9AE}" pid="25" name="StyleId">
    <vt:lpwstr>http://www.zotero.org/styles/nature</vt:lpwstr>
  </property>
  <property fmtid="{D5CDD505-2E9C-101B-9397-08002B2CF9AE}" pid="26" name="InsertAsFootnote">
    <vt:lpwstr>0</vt:lpwstr>
  </property>
  <property fmtid="{D5CDD505-2E9C-101B-9397-08002B2CF9AE}" pid="27" name="AutoFormat">
    <vt:lpwstr>True</vt:lpwstr>
  </property>
</Properties>
</file>