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AMEX Enterprise Credit Risk Platform</w:t>
      </w:r>
    </w:p>
    <w:p>
      <w:r>
        <w:t>Basel III / IFRS 9 Mapping Report -- Notebook 08</w:t>
      </w:r>
    </w:p>
    <w:p>
      <w:r>
        <w:t>Generated: 2026-08-23 22:11</w:t>
      </w:r>
    </w:p>
    <w:p>
      <w:r>
        <w:t>This report combines real, measured model output (each holdout customer's predicted PD, scored live by Notebook 05's champion model) with the actual published Basel II/III IRB formula for Qualifying Revolving Retail Exposures (a real regulatory formula, not an approximation) and with clearly labeled ASSUMPTION constants for LGD and EAD, which the Kaggle AMEX dataset does not contain. It is a worked regulatory-capital methodology, not a substitute for your institution's own Basel/IFRS9 model validation.</w:t>
      </w:r>
    </w:p>
    <w:p>
      <w:pPr>
        <w:pStyle w:val="Heading1"/>
      </w:pPr>
      <w:r>
        <w:t>1. Model &amp; Data Basis (Measured)</w:t>
      </w:r>
    </w:p>
    <w:tbl>
      <w:tblPr>
        <w:tblStyle w:val="LightGrid-Accent1"/>
        <w:tblW w:type="auto" w:w="0"/>
        <w:tblLook w:firstColumn="1" w:firstRow="1" w:lastColumn="0" w:lastRow="0" w:noHBand="0" w:noVBand="1" w:val="04A0"/>
      </w:tblPr>
      <w:tblGrid>
        <w:gridCol w:w="4320"/>
        <w:gridCol w:w="4320"/>
      </w:tblGrid>
      <w:tr>
        <w:tc>
          <w:tcPr>
            <w:tcW w:type="dxa" w:w="4320"/>
          </w:tcPr>
          <w:p>
            <w:r>
              <w:t>Champion Model</w:t>
            </w:r>
          </w:p>
        </w:tc>
        <w:tc>
          <w:tcPr>
            <w:tcW w:type="dxa" w:w="4320"/>
          </w:tcPr>
          <w:p>
            <w:r>
              <w:t>xgboost</w:t>
            </w:r>
          </w:p>
        </w:tc>
      </w:tr>
      <w:tr>
        <w:tc>
          <w:tcPr>
            <w:tcW w:type="dxa" w:w="4320"/>
          </w:tcPr>
          <w:p>
            <w:r>
              <w:t>Holdout Customers Scored</w:t>
            </w:r>
          </w:p>
        </w:tc>
        <w:tc>
          <w:tcPr>
            <w:tcW w:type="dxa" w:w="4320"/>
          </w:tcPr>
          <w:p>
            <w:r>
              <w:t>91783</w:t>
            </w:r>
          </w:p>
        </w:tc>
      </w:tr>
      <w:tr>
        <w:tc>
          <w:tcPr>
            <w:tcW w:type="dxa" w:w="4320"/>
          </w:tcPr>
          <w:p>
            <w:r>
              <w:t>Measured Portfolio Avg Pd</w:t>
            </w:r>
          </w:p>
        </w:tc>
        <w:tc>
          <w:tcPr>
            <w:tcW w:type="dxa" w:w="4320"/>
          </w:tcPr>
          <w:p>
            <w:r>
              <w:t>0.2585</w:t>
            </w:r>
          </w:p>
        </w:tc>
      </w:tr>
      <w:tr>
        <w:tc>
          <w:tcPr>
            <w:tcW w:type="dxa" w:w="4320"/>
          </w:tcPr>
          <w:p>
            <w:r>
              <w:t>Measured Holdout Default Rate</w:t>
            </w:r>
          </w:p>
        </w:tc>
        <w:tc>
          <w:tcPr>
            <w:tcW w:type="dxa" w:w="4320"/>
          </w:tcPr>
          <w:p>
            <w:r>
              <w:t>25.8937%</w:t>
            </w:r>
          </w:p>
        </w:tc>
      </w:tr>
    </w:tbl>
    <w:p>
      <w:pPr>
        <w:pStyle w:val="Heading1"/>
      </w:pPr>
      <w:r>
        <w:t>2. Basel III Regulatory Parameters</w:t>
      </w:r>
    </w:p>
    <w:p>
      <w:pPr>
        <w:pStyle w:val="ListBullet"/>
      </w:pPr>
      <w:r>
        <w:t>Regulatory standard (fixed by Basel, not chosen by this notebook):</w:t>
      </w:r>
    </w:p>
    <w:tbl>
      <w:tblPr>
        <w:tblStyle w:val="LightGrid-Accent1"/>
        <w:tblW w:type="auto" w:w="0"/>
        <w:tblLook w:firstColumn="1" w:firstRow="1" w:lastColumn="0" w:lastRow="0" w:noHBand="0" w:noVBand="1" w:val="04A0"/>
      </w:tblPr>
      <w:tblGrid>
        <w:gridCol w:w="4320"/>
        <w:gridCol w:w="4320"/>
      </w:tblGrid>
      <w:tr>
        <w:tc>
          <w:tcPr>
            <w:tcW w:type="dxa" w:w="4320"/>
          </w:tcPr>
          <w:p>
            <w:r>
              <w:t>Qrre Correlation R</w:t>
            </w:r>
          </w:p>
        </w:tc>
        <w:tc>
          <w:tcPr>
            <w:tcW w:type="dxa" w:w="4320"/>
          </w:tcPr>
          <w:p>
            <w:r>
              <w:t>0.04</w:t>
            </w:r>
          </w:p>
        </w:tc>
      </w:tr>
      <w:tr>
        <w:tc>
          <w:tcPr>
            <w:tcW w:type="dxa" w:w="4320"/>
          </w:tcPr>
          <w:p>
            <w:r>
              <w:t>Confidence Level</w:t>
            </w:r>
          </w:p>
        </w:tc>
        <w:tc>
          <w:tcPr>
            <w:tcW w:type="dxa" w:w="4320"/>
          </w:tcPr>
          <w:p>
            <w:r>
              <w:t>99.9%</w:t>
            </w:r>
          </w:p>
        </w:tc>
      </w:tr>
      <w:tr>
        <w:tc>
          <w:tcPr>
            <w:tcW w:type="dxa" w:w="4320"/>
          </w:tcPr>
          <w:p>
            <w:r>
              <w:t>Pillar1 Minimum Ratio</w:t>
            </w:r>
          </w:p>
        </w:tc>
        <w:tc>
          <w:tcPr>
            <w:tcW w:type="dxa" w:w="4320"/>
          </w:tcPr>
          <w:p>
            <w:r>
              <w:t>8.0%</w:t>
            </w:r>
          </w:p>
        </w:tc>
      </w:tr>
      <w:tr>
        <w:tc>
          <w:tcPr>
            <w:tcW w:type="dxa" w:w="4320"/>
          </w:tcPr>
          <w:p>
            <w:r>
              <w:t>Capital Conservation Buffer</w:t>
            </w:r>
          </w:p>
        </w:tc>
        <w:tc>
          <w:tcPr>
            <w:tcW w:type="dxa" w:w="4320"/>
          </w:tcPr>
          <w:p>
            <w:r>
              <w:t>2.5%</w:t>
            </w:r>
          </w:p>
        </w:tc>
      </w:tr>
    </w:tbl>
    <w:p>
      <w:pPr>
        <w:pStyle w:val="ListBullet"/>
      </w:pPr>
      <w:r>
        <w:t>Stated assumption (editable):</w:t>
      </w:r>
    </w:p>
    <w:tbl>
      <w:tblPr>
        <w:tblStyle w:val="LightGrid-Accent1"/>
        <w:tblW w:type="auto" w:w="0"/>
        <w:tblLook w:firstColumn="1" w:firstRow="1" w:lastColumn="0" w:lastRow="0" w:noHBand="0" w:noVBand="1" w:val="04A0"/>
      </w:tblPr>
      <w:tblGrid>
        <w:gridCol w:w="4320"/>
        <w:gridCol w:w="4320"/>
      </w:tblGrid>
      <w:tr>
        <w:tc>
          <w:tcPr>
            <w:tcW w:type="dxa" w:w="4320"/>
          </w:tcPr>
          <w:p>
            <w:r>
              <w:t>Lgd Assumption</w:t>
            </w:r>
          </w:p>
        </w:tc>
        <w:tc>
          <w:tcPr>
            <w:tcW w:type="dxa" w:w="4320"/>
          </w:tcPr>
          <w:p>
            <w:r>
              <w:t>45%</w:t>
            </w:r>
          </w:p>
        </w:tc>
      </w:tr>
      <w:tr>
        <w:tc>
          <w:tcPr>
            <w:tcW w:type="dxa" w:w="4320"/>
          </w:tcPr>
          <w:p>
            <w:r>
              <w:t>Ead Per Account Usd</w:t>
            </w:r>
          </w:p>
        </w:tc>
        <w:tc>
          <w:tcPr>
            <w:tcW w:type="dxa" w:w="4320"/>
          </w:tcPr>
          <w:p>
            <w:r>
              <w:t>$5,000</w:t>
            </w:r>
          </w:p>
        </w:tc>
      </w:tr>
    </w:tbl>
    <w:p>
      <w:pPr>
        <w:pStyle w:val="Heading1"/>
      </w:pPr>
      <w:r>
        <w:t>3. Capital Adequacy Summary</w:t>
      </w:r>
    </w:p>
    <w:p>
      <w:r>
        <w:drawing>
          <wp:inline xmlns:a="http://schemas.openxmlformats.org/drawingml/2006/main" xmlns:pic="http://schemas.openxmlformats.org/drawingml/2006/picture">
            <wp:extent cx="5486400" cy="3771900"/>
            <wp:docPr id="1" name="Picture 1"/>
            <wp:cNvGraphicFramePr>
              <a:graphicFrameLocks noChangeAspect="1"/>
            </wp:cNvGraphicFramePr>
            <a:graphic>
              <a:graphicData uri="http://schemas.openxmlformats.org/drawingml/2006/picture">
                <pic:pic>
                  <pic:nvPicPr>
                    <pic:cNvPr id="0" name="basel_risk_weight_curve_chart.png"/>
                    <pic:cNvPicPr/>
                  </pic:nvPicPr>
                  <pic:blipFill>
                    <a:blip r:embed="rId9"/>
                    <a:stretch>
                      <a:fillRect/>
                    </a:stretch>
                  </pic:blipFill>
                  <pic:spPr>
                    <a:xfrm>
                      <a:off x="0" y="0"/>
                      <a:ext cx="5486400" cy="3771900"/>
                    </a:xfrm>
                    <a:prstGeom prst="rect"/>
                  </pic:spPr>
                </pic:pic>
              </a:graphicData>
            </a:graphic>
          </wp:inline>
        </w:drawing>
      </w:r>
    </w:p>
    <w:tbl>
      <w:tblPr>
        <w:tblStyle w:val="LightGrid-Accent1"/>
        <w:tblW w:type="auto" w:w="0"/>
        <w:tblLook w:firstColumn="1" w:firstRow="1" w:lastColumn="0" w:lastRow="0" w:noHBand="0" w:noVBand="1" w:val="04A0"/>
      </w:tblPr>
      <w:tblGrid>
        <w:gridCol w:w="4320"/>
        <w:gridCol w:w="4320"/>
      </w:tblGrid>
      <w:tr>
        <w:tc>
          <w:tcPr>
            <w:tcW w:type="dxa" w:w="4320"/>
          </w:tcPr>
          <w:p>
            <w:r>
              <w:t>Total Ead Usd</w:t>
            </w:r>
          </w:p>
        </w:tc>
        <w:tc>
          <w:tcPr>
            <w:tcW w:type="dxa" w:w="4320"/>
          </w:tcPr>
          <w:p>
            <w:r>
              <w:t>$458,915,000</w:t>
            </w:r>
          </w:p>
        </w:tc>
      </w:tr>
      <w:tr>
        <w:tc>
          <w:tcPr>
            <w:tcW w:type="dxa" w:w="4320"/>
          </w:tcPr>
          <w:p>
            <w:r>
              <w:t>Total Rwa Usd</w:t>
            </w:r>
          </w:p>
        </w:tc>
        <w:tc>
          <w:tcPr>
            <w:tcW w:type="dxa" w:w="4320"/>
          </w:tcPr>
          <w:p>
            <w:r>
              <w:t>$203,644,380</w:t>
            </w:r>
          </w:p>
        </w:tc>
      </w:tr>
      <w:tr>
        <w:tc>
          <w:tcPr>
            <w:tcW w:type="dxa" w:w="4320"/>
          </w:tcPr>
          <w:p>
            <w:r>
              <w:t>Avg Risk Weight Pct</w:t>
            </w:r>
          </w:p>
        </w:tc>
        <w:tc>
          <w:tcPr>
            <w:tcW w:type="dxa" w:w="4320"/>
          </w:tcPr>
          <w:p>
            <w:r>
              <w:t>44.38</w:t>
            </w:r>
          </w:p>
        </w:tc>
      </w:tr>
      <w:tr>
        <w:tc>
          <w:tcPr>
            <w:tcW w:type="dxa" w:w="4320"/>
          </w:tcPr>
          <w:p>
            <w:r>
              <w:t>Pillar1 Minimum Capital Usd</w:t>
            </w:r>
          </w:p>
        </w:tc>
        <w:tc>
          <w:tcPr>
            <w:tcW w:type="dxa" w:w="4320"/>
          </w:tcPr>
          <w:p>
            <w:r>
              <w:t>$16,291,550</w:t>
            </w:r>
          </w:p>
        </w:tc>
      </w:tr>
      <w:tr>
        <w:tc>
          <w:tcPr>
            <w:tcW w:type="dxa" w:w="4320"/>
          </w:tcPr>
          <w:p>
            <w:r>
              <w:t>Capital Conservation Buffer Usd</w:t>
            </w:r>
          </w:p>
        </w:tc>
        <w:tc>
          <w:tcPr>
            <w:tcW w:type="dxa" w:w="4320"/>
          </w:tcPr>
          <w:p>
            <w:r>
              <w:t>$5,091,109</w:t>
            </w:r>
          </w:p>
        </w:tc>
      </w:tr>
      <w:tr>
        <w:tc>
          <w:tcPr>
            <w:tcW w:type="dxa" w:w="4320"/>
          </w:tcPr>
          <w:p>
            <w:r>
              <w:t>Total Required Capital Usd</w:t>
            </w:r>
          </w:p>
        </w:tc>
        <w:tc>
          <w:tcPr>
            <w:tcW w:type="dxa" w:w="4320"/>
          </w:tcPr>
          <w:p>
            <w:r>
              <w:t>$21,382,660</w:t>
            </w:r>
          </w:p>
        </w:tc>
      </w:tr>
      <w:tr>
        <w:tc>
          <w:tcPr>
            <w:tcW w:type="dxa" w:w="4320"/>
          </w:tcPr>
          <w:p>
            <w:r>
              <w:t>Lgd Assumption</w:t>
            </w:r>
          </w:p>
        </w:tc>
        <w:tc>
          <w:tcPr>
            <w:tcW w:type="dxa" w:w="4320"/>
          </w:tcPr>
          <w:p>
            <w:r>
              <w:t>0.45</w:t>
            </w:r>
          </w:p>
        </w:tc>
      </w:tr>
      <w:tr>
        <w:tc>
          <w:tcPr>
            <w:tcW w:type="dxa" w:w="4320"/>
          </w:tcPr>
          <w:p>
            <w:r>
              <w:t>Ead Per Account Usd Assumption</w:t>
            </w:r>
          </w:p>
        </w:tc>
        <w:tc>
          <w:tcPr>
            <w:tcW w:type="dxa" w:w="4320"/>
          </w:tcPr>
          <w:p>
            <w:r>
              <w:t>$5,000</w:t>
            </w:r>
          </w:p>
        </w:tc>
      </w:tr>
    </w:tbl>
    <w:p>
      <w:r>
        <w:drawing>
          <wp:inline xmlns:a="http://schemas.openxmlformats.org/drawingml/2006/main" xmlns:pic="http://schemas.openxmlformats.org/drawingml/2006/picture">
            <wp:extent cx="5029200" cy="4255477"/>
            <wp:docPr id="2" name="Picture 2"/>
            <wp:cNvGraphicFramePr>
              <a:graphicFrameLocks noChangeAspect="1"/>
            </wp:cNvGraphicFramePr>
            <a:graphic>
              <a:graphicData uri="http://schemas.openxmlformats.org/drawingml/2006/picture">
                <pic:pic>
                  <pic:nvPicPr>
                    <pic:cNvPr id="0" name="basel_capital_breakdown_chart.png"/>
                    <pic:cNvPicPr/>
                  </pic:nvPicPr>
                  <pic:blipFill>
                    <a:blip r:embed="rId10"/>
                    <a:stretch>
                      <a:fillRect/>
                    </a:stretch>
                  </pic:blipFill>
                  <pic:spPr>
                    <a:xfrm>
                      <a:off x="0" y="0"/>
                      <a:ext cx="5029200" cy="4255477"/>
                    </a:xfrm>
                    <a:prstGeom prst="rect"/>
                  </pic:spPr>
                </pic:pic>
              </a:graphicData>
            </a:graphic>
          </wp:inline>
        </w:drawing>
      </w:r>
    </w:p>
    <w:p>
      <w:pPr>
        <w:pStyle w:val="Heading1"/>
      </w:pPr>
      <w:r>
        <w:t>4. IFRS 9 Staging</w:t>
      </w:r>
    </w:p>
    <w:p>
      <w:r>
        <w:t>IMPORTANT LIMITATION: production IFRS9 staging compares a customer's PD today against their PD at origination to detect a significant increase in credit risk (SICR) -- this requires a PD term structure the single-snapshot Kaggle AMEX dataset does not provide. This section instead runs a backtest-style exercise: Stage 3 uses the real, already-known holdout outcome; Stage 2 uses a stated PD-deterioration heuristic. This illustrates the ECL mechanics correctly but is not production-ready staging logic.</w:t>
      </w:r>
    </w:p>
    <w:p>
      <w:r>
        <w:drawing>
          <wp:inline xmlns:a="http://schemas.openxmlformats.org/drawingml/2006/main" xmlns:pic="http://schemas.openxmlformats.org/drawingml/2006/picture">
            <wp:extent cx="4572000" cy="3868615"/>
            <wp:docPr id="3" name="Picture 3"/>
            <wp:cNvGraphicFramePr>
              <a:graphicFrameLocks noChangeAspect="1"/>
            </wp:cNvGraphicFramePr>
            <a:graphic>
              <a:graphicData uri="http://schemas.openxmlformats.org/drawingml/2006/picture">
                <pic:pic>
                  <pic:nvPicPr>
                    <pic:cNvPr id="0" name="ifrs9_staging_distribution_chart.png"/>
                    <pic:cNvPicPr/>
                  </pic:nvPicPr>
                  <pic:blipFill>
                    <a:blip r:embed="rId11"/>
                    <a:stretch>
                      <a:fillRect/>
                    </a:stretch>
                  </pic:blipFill>
                  <pic:spPr>
                    <a:xfrm>
                      <a:off x="0" y="0"/>
                      <a:ext cx="4572000" cy="3868615"/>
                    </a:xfrm>
                    <a:prstGeom prst="rect"/>
                  </pic:spPr>
                </pic:pic>
              </a:graphicData>
            </a:graphic>
          </wp:inline>
        </w:drawing>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Stage</w:t>
            </w:r>
          </w:p>
        </w:tc>
        <w:tc>
          <w:tcPr>
            <w:tcW w:type="dxa" w:w="2160"/>
          </w:tcPr>
          <w:p>
            <w:r>
              <w:t>Customers</w:t>
            </w:r>
          </w:p>
        </w:tc>
        <w:tc>
          <w:tcPr>
            <w:tcW w:type="dxa" w:w="2160"/>
          </w:tcPr>
          <w:p>
            <w:r>
              <w:t>Avg PD</w:t>
            </w:r>
          </w:p>
        </w:tc>
        <w:tc>
          <w:tcPr>
            <w:tcW w:type="dxa" w:w="2160"/>
          </w:tcPr>
          <w:p>
            <w:r>
              <w:t>Total ECL</w:t>
            </w:r>
          </w:p>
        </w:tc>
      </w:tr>
      <w:tr>
        <w:tc>
          <w:tcPr>
            <w:tcW w:type="dxa" w:w="2160"/>
          </w:tcPr>
          <w:p>
            <w:r>
              <w:t>1</w:t>
            </w:r>
          </w:p>
        </w:tc>
        <w:tc>
          <w:tcPr>
            <w:tcW w:type="dxa" w:w="2160"/>
          </w:tcPr>
          <w:p>
            <w:r>
              <w:t>66,776</w:t>
            </w:r>
          </w:p>
        </w:tc>
        <w:tc>
          <w:tcPr>
            <w:tcW w:type="dxa" w:w="2160"/>
          </w:tcPr>
          <w:p>
            <w:r>
              <w:t>0.0770</w:t>
            </w:r>
          </w:p>
        </w:tc>
        <w:tc>
          <w:tcPr>
            <w:tcW w:type="dxa" w:w="2160"/>
          </w:tcPr>
          <w:p>
            <w:r>
              <w:t>$11,565,156</w:t>
            </w:r>
          </w:p>
        </w:tc>
      </w:tr>
      <w:tr>
        <w:tc>
          <w:tcPr>
            <w:tcW w:type="dxa" w:w="2160"/>
          </w:tcPr>
          <w:p>
            <w:r>
              <w:t>2</w:t>
            </w:r>
          </w:p>
        </w:tc>
        <w:tc>
          <w:tcPr>
            <w:tcW w:type="dxa" w:w="2160"/>
          </w:tcPr>
          <w:p>
            <w:r>
              <w:t>1,241</w:t>
            </w:r>
          </w:p>
        </w:tc>
        <w:tc>
          <w:tcPr>
            <w:tcW w:type="dxa" w:w="2160"/>
          </w:tcPr>
          <w:p>
            <w:r>
              <w:t>0.8602</w:t>
            </w:r>
          </w:p>
        </w:tc>
        <w:tc>
          <w:tcPr>
            <w:tcW w:type="dxa" w:w="2160"/>
          </w:tcPr>
          <w:p>
            <w:r>
              <w:t>$2,792,250</w:t>
            </w:r>
          </w:p>
        </w:tc>
      </w:tr>
      <w:tr>
        <w:tc>
          <w:tcPr>
            <w:tcW w:type="dxa" w:w="2160"/>
          </w:tcPr>
          <w:p>
            <w:r>
              <w:t>3</w:t>
            </w:r>
          </w:p>
        </w:tc>
        <w:tc>
          <w:tcPr>
            <w:tcW w:type="dxa" w:w="2160"/>
          </w:tcPr>
          <w:p>
            <w:r>
              <w:t>23,766</w:t>
            </w:r>
          </w:p>
        </w:tc>
        <w:tc>
          <w:tcPr>
            <w:tcW w:type="dxa" w:w="2160"/>
          </w:tcPr>
          <w:p>
            <w:r>
              <w:t>0.7370</w:t>
            </w:r>
          </w:p>
        </w:tc>
        <w:tc>
          <w:tcPr>
            <w:tcW w:type="dxa" w:w="2160"/>
          </w:tcPr>
          <w:p>
            <w:r>
              <w:t>$53,473,500</w:t>
            </w:r>
          </w:p>
        </w:tc>
      </w:tr>
    </w:tbl>
    <w:p>
      <w:r>
        <w:drawing>
          <wp:inline xmlns:a="http://schemas.openxmlformats.org/drawingml/2006/main" xmlns:pic="http://schemas.openxmlformats.org/drawingml/2006/picture">
            <wp:extent cx="5486400" cy="4310743"/>
            <wp:docPr id="4" name="Picture 4"/>
            <wp:cNvGraphicFramePr>
              <a:graphicFrameLocks noChangeAspect="1"/>
            </wp:cNvGraphicFramePr>
            <a:graphic>
              <a:graphicData uri="http://schemas.openxmlformats.org/drawingml/2006/picture">
                <pic:pic>
                  <pic:nvPicPr>
                    <pic:cNvPr id="0" name="ifrs9_ecl_by_stage_chart.png"/>
                    <pic:cNvPicPr/>
                  </pic:nvPicPr>
                  <pic:blipFill>
                    <a:blip r:embed="rId12"/>
                    <a:stretch>
                      <a:fillRect/>
                    </a:stretch>
                  </pic:blipFill>
                  <pic:spPr>
                    <a:xfrm>
                      <a:off x="0" y="0"/>
                      <a:ext cx="5486400" cy="4310743"/>
                    </a:xfrm>
                    <a:prstGeom prst="rect"/>
                  </pic:spPr>
                </pic:pic>
              </a:graphicData>
            </a:graphic>
          </wp:inline>
        </w:drawing>
      </w:r>
    </w:p>
    <w:p>
      <w:pPr>
        <w:pStyle w:val="Heading1"/>
      </w:pPr>
      <w:r>
        <w:t>5. Basel vs. IFRS 9 Reconciliation</w:t>
      </w:r>
    </w:p>
    <w:p>
      <w:r>
        <w:t>Total required regulatory capital (unexpected-loss buffer, 99.9% confidence): $21,382,660. Total IFRS 9 ECL (accounting provision, expected loss): $67,830,906. These measure different things by design -- capital covers UNEXPECTED loss at a high confidence level, while ECL provisions for EXPECTED loss. The gap of $-46,448,246 is the expected shape of this comparison.</w:t>
      </w:r>
    </w:p>
    <w:p>
      <w:pPr>
        <w:pStyle w:val="Heading1"/>
      </w:pPr>
      <w:r>
        <w:t>6. Regulatory Documentation &amp; Disclosure Checklist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Dimension</w:t>
            </w:r>
          </w:p>
        </w:tc>
        <w:tc>
          <w:tcPr>
            <w:tcW w:type="dxa" w:w="2880"/>
          </w:tcPr>
          <w:p>
            <w:r>
              <w:t>Status</w:t>
            </w:r>
          </w:p>
        </w:tc>
        <w:tc>
          <w:tcPr>
            <w:tcW w:type="dxa" w:w="2880"/>
          </w:tcPr>
          <w:p>
            <w:r>
              <w:t>Evidence</w:t>
            </w:r>
          </w:p>
        </w:tc>
      </w:tr>
      <w:tr>
        <w:tc>
          <w:tcPr>
            <w:tcW w:type="dxa" w:w="2880"/>
          </w:tcPr>
          <w:p>
            <w:r>
              <w:t>Pillar 1 IRB Capital Calculation (QRRE formula)</w:t>
            </w:r>
          </w:p>
        </w:tc>
        <w:tc>
          <w:tcPr>
            <w:tcW w:type="dxa" w:w="2880"/>
          </w:tcPr>
          <w:p>
            <w:r>
              <w:t>Pass</w:t>
            </w:r>
          </w:p>
        </w:tc>
        <w:tc>
          <w:tcPr>
            <w:tcW w:type="dxa" w:w="2880"/>
          </w:tcPr>
          <w:p>
            <w:r>
              <w:t>Computed live for 91,783 holdout customers, this run</w:t>
            </w:r>
          </w:p>
        </w:tc>
      </w:tr>
      <w:tr>
        <w:tc>
          <w:tcPr>
            <w:tcW w:type="dxa" w:w="2880"/>
          </w:tcPr>
          <w:p>
            <w:r>
              <w:t>PD Model Validation (SR 11-7 / MRM)</w:t>
            </w:r>
          </w:p>
        </w:tc>
        <w:tc>
          <w:tcPr>
            <w:tcW w:type="dxa" w:w="2880"/>
          </w:tcPr>
          <w:p>
            <w:r>
              <w:t>Pass</w:t>
            </w:r>
          </w:p>
        </w:tc>
        <w:tc>
          <w:tcPr>
            <w:tcW w:type="dxa" w:w="2880"/>
          </w:tcPr>
          <w:p>
            <w:r>
              <w:t>Notebook 07 risk tier: Tier 2 (Medium)</w:t>
            </w:r>
          </w:p>
        </w:tc>
      </w:tr>
      <w:tr>
        <w:tc>
          <w:tcPr>
            <w:tcW w:type="dxa" w:w="2880"/>
          </w:tcPr>
          <w:p>
            <w:r>
              <w:t>LGD Estimation</w:t>
            </w:r>
          </w:p>
        </w:tc>
        <w:tc>
          <w:tcPr>
            <w:tcW w:type="dxa" w:w="2880"/>
          </w:tcPr>
          <w:p>
            <w:r>
              <w:t>Assumption Only -- Needs Institution-Specific Estimate</w:t>
            </w:r>
          </w:p>
        </w:tc>
        <w:tc>
          <w:tcPr>
            <w:tcW w:type="dxa" w:w="2880"/>
          </w:tcPr>
          <w:p>
            <w:r>
              <w:t>Stated benchmark 45%; dataset has no real recovery-rate data</w:t>
            </w:r>
          </w:p>
        </w:tc>
      </w:tr>
      <w:tr>
        <w:tc>
          <w:tcPr>
            <w:tcW w:type="dxa" w:w="2880"/>
          </w:tcPr>
          <w:p>
            <w:r>
              <w:t>EAD Estimation</w:t>
            </w:r>
          </w:p>
        </w:tc>
        <w:tc>
          <w:tcPr>
            <w:tcW w:type="dxa" w:w="2880"/>
          </w:tcPr>
          <w:p>
            <w:r>
              <w:t>Assumption Only -- Needs Institution-Specific Estimate</w:t>
            </w:r>
          </w:p>
        </w:tc>
        <w:tc>
          <w:tcPr>
            <w:tcW w:type="dxa" w:w="2880"/>
          </w:tcPr>
          <w:p>
            <w:r>
              <w:t>Stated benchmark $5,000/account; dataset has no real credit-limit data</w:t>
            </w:r>
          </w:p>
        </w:tc>
      </w:tr>
      <w:tr>
        <w:tc>
          <w:tcPr>
            <w:tcW w:type="dxa" w:w="2880"/>
          </w:tcPr>
          <w:p>
            <w:r>
              <w:t>IFRS 9 Staging Criteria (SICR)</w:t>
            </w:r>
          </w:p>
        </w:tc>
        <w:tc>
          <w:tcPr>
            <w:tcW w:type="dxa" w:w="2880"/>
          </w:tcPr>
          <w:p>
            <w:r>
              <w:t>Illustrative Only -- Needs PD Term Structure</w:t>
            </w:r>
          </w:p>
        </w:tc>
        <w:tc>
          <w:tcPr>
            <w:tcW w:type="dxa" w:w="2880"/>
          </w:tcPr>
          <w:p>
            <w:r>
              <w:t>Backtest-style proxy using known holdout outcomes -- see Section 8 limitation note</w:t>
            </w:r>
          </w:p>
        </w:tc>
      </w:tr>
      <w:tr>
        <w:tc>
          <w:tcPr>
            <w:tcW w:type="dxa" w:w="2880"/>
          </w:tcPr>
          <w:p>
            <w:r>
              <w:t>ECL Model Documentation</w:t>
            </w:r>
          </w:p>
        </w:tc>
        <w:tc>
          <w:tcPr>
            <w:tcW w:type="dxa" w:w="2880"/>
          </w:tcPr>
          <w:p>
            <w:r>
              <w:t>Pass</w:t>
            </w:r>
          </w:p>
        </w:tc>
        <w:tc>
          <w:tcPr>
            <w:tcW w:type="dxa" w:w="2880"/>
          </w:tcPr>
          <w:p>
            <w:r>
              <w:t>ecl_staging_summary.csv, this run -- total ECL $67,830,906</w:t>
            </w:r>
          </w:p>
        </w:tc>
      </w:tr>
      <w:tr>
        <w:tc>
          <w:tcPr>
            <w:tcW w:type="dxa" w:w="2880"/>
          </w:tcPr>
          <w:p>
            <w:r>
              <w:t>Capital Adequacy Reporting</w:t>
            </w:r>
          </w:p>
        </w:tc>
        <w:tc>
          <w:tcPr>
            <w:tcW w:type="dxa" w:w="2880"/>
          </w:tcPr>
          <w:p>
            <w:r>
              <w:t>Pass</w:t>
            </w:r>
          </w:p>
        </w:tc>
        <w:tc>
          <w:tcPr>
            <w:tcW w:type="dxa" w:w="2880"/>
          </w:tcPr>
          <w:p>
            <w:r>
              <w:t>capital_adequacy_summary.csv -- total required capital $21,382,660</w:t>
            </w:r>
          </w:p>
        </w:tc>
      </w:tr>
      <w:tr>
        <w:tc>
          <w:tcPr>
            <w:tcW w:type="dxa" w:w="2880"/>
          </w:tcPr>
          <w:p>
            <w:r>
              <w:t>Pillar 3 Disclosure Readiness</w:t>
            </w:r>
          </w:p>
        </w:tc>
        <w:tc>
          <w:tcPr>
            <w:tcW w:type="dxa" w:w="2880"/>
          </w:tcPr>
          <w:p>
            <w:r>
              <w:t>Partial -- Needs Institution Sign-off</w:t>
            </w:r>
          </w:p>
        </w:tc>
        <w:tc>
          <w:tcPr>
            <w:tcW w:type="dxa" w:w="2880"/>
          </w:tcPr>
          <w:p>
            <w:r>
              <w:t>Quantitative tables ready; narrative disclosure requires Compliance review</w:t>
            </w:r>
          </w:p>
        </w:tc>
      </w:tr>
      <w:tr>
        <w:tc>
          <w:tcPr>
            <w:tcW w:type="dxa" w:w="2880"/>
          </w:tcPr>
          <w:p>
            <w:r>
              <w:t>Fair-Lending / Disparate-Impact Review</w:t>
            </w:r>
          </w:p>
        </w:tc>
        <w:tc>
          <w:tcPr>
            <w:tcW w:type="dxa" w:w="2880"/>
          </w:tcPr>
          <w:p>
            <w:r>
              <w:t>Pending</w:t>
            </w:r>
          </w:p>
        </w:tc>
        <w:tc>
          <w:tcPr>
            <w:tcW w:type="dxa" w:w="2880"/>
          </w:tcPr>
          <w:p>
            <w:r>
              <w:t>Deferred to Notebook 07's governance checklist / dedicated fair-lending review</w:t>
            </w:r>
          </w:p>
        </w:tc>
      </w:tr>
    </w:tbl>
    <w:p>
      <w:pPr>
        <w:pStyle w:val="Heading1"/>
      </w:pPr>
      <w:r>
        <w:t>7. Model Performance Basis</w:t>
      </w:r>
    </w:p>
    <w:p>
      <w:r>
        <w:drawing>
          <wp:inline xmlns:a="http://schemas.openxmlformats.org/drawingml/2006/main" xmlns:pic="http://schemas.openxmlformats.org/drawingml/2006/picture">
            <wp:extent cx="5486400" cy="3771900"/>
            <wp:docPr id="5" name="Picture 5"/>
            <wp:cNvGraphicFramePr>
              <a:graphicFrameLocks noChangeAspect="1"/>
            </wp:cNvGraphicFramePr>
            <a:graphic>
              <a:graphicData uri="http://schemas.openxmlformats.org/drawingml/2006/picture">
                <pic:pic>
                  <pic:nvPicPr>
                    <pic:cNvPr id="0" name="basel_pd_distribution_chart.png"/>
                    <pic:cNvPicPr/>
                  </pic:nvPicPr>
                  <pic:blipFill>
                    <a:blip r:embed="rId13"/>
                    <a:stretch>
                      <a:fillRect/>
                    </a:stretch>
                  </pic:blipFill>
                  <pic:spPr>
                    <a:xfrm>
                      <a:off x="0" y="0"/>
                      <a:ext cx="5486400" cy="377190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