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Financial Impact Report &amp; SMART Team Recommendations -- Notebook 14 (Executive Reports)</w:t>
      </w:r>
    </w:p>
    <w:p>
      <w:r>
        <w:t>Generated: 2026-08-23 23:08</w:t>
      </w:r>
    </w:p>
    <w:p>
      <w:r>
        <w:t>IMPORTANT: this report combines two different kinds of numbers. Champion model performance (holdout AUC, AMEX metric, Top-4% capture) and the live portfolio default rate are MEASURED -- computed by this platform's own code from the real Kaggle AMEX data. Every dollar figure (portfolio size, costs, revenue-per-account, staffing) rests on an explicit, stated ASSUMPTION -- the Kaggle dataset contains no real financial data for any institution. This is a worked financial-impact METHODOLOGY with editable inputs, not investment, accounting, or regulatory-capital advice, and not a substitute for your own institution's real financial figures.</w:t>
      </w:r>
    </w:p>
    <w:p>
      <w:pPr>
        <w:pStyle w:val="Heading1"/>
      </w:pPr>
      <w:r>
        <w:t>1. Executive Summary</w:t>
      </w:r>
    </w:p>
    <w:p>
      <w:r>
        <w:t>Deploying the xgboost champion model (measured holdout AMEX metric 0.7936, Top-4% default capture 66.3%) into the stated hypothetical production scenario below is modeled to require $421,000 in one-time investment plus $16,500/month ongoing, reaching payback in 7 months and a 5-year cumulative net benefit of $1,134,573,962 (base scenario; see Section 5 for conservative/optimistic variants).</w:t>
      </w:r>
    </w:p>
    <w:p>
      <w:pPr>
        <w:pStyle w:val="Heading1"/>
      </w:pPr>
      <w:r>
        <w:t>2. Methodology &amp; Assumptions</w:t>
      </w:r>
    </w:p>
    <w:p>
      <w:pPr>
        <w:pStyle w:val="ListBullet"/>
      </w:pPr>
      <w:r>
        <w:t>MEASURED inputs (computed live by this platform's notebooks):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Holdout Auc</w:t>
            </w:r>
          </w:p>
        </w:tc>
        <w:tc>
          <w:tcPr>
            <w:tcW w:type="dxa" w:w="4320"/>
          </w:tcPr>
          <w:p>
            <w:r>
              <w:t>0.9620</w:t>
            </w:r>
          </w:p>
        </w:tc>
      </w:tr>
      <w:tr>
        <w:tc>
          <w:tcPr>
            <w:tcW w:type="dxa" w:w="4320"/>
          </w:tcPr>
          <w:p>
            <w:r>
              <w:t>Holdout Amex Metric</w:t>
            </w:r>
          </w:p>
        </w:tc>
        <w:tc>
          <w:tcPr>
            <w:tcW w:type="dxa" w:w="4320"/>
          </w:tcPr>
          <w:p>
            <w:r>
              <w:t>0.7936</w:t>
            </w:r>
          </w:p>
        </w:tc>
      </w:tr>
      <w:tr>
        <w:tc>
          <w:tcPr>
            <w:tcW w:type="dxa" w:w="4320"/>
          </w:tcPr>
          <w:p>
            <w:r>
              <w:t>Holdout Top4Pct Capture</w:t>
            </w:r>
          </w:p>
        </w:tc>
        <w:tc>
          <w:tcPr>
            <w:tcW w:type="dxa" w:w="4320"/>
          </w:tcPr>
          <w:p>
            <w:r>
              <w:t>66.3048%</w:t>
            </w:r>
          </w:p>
        </w:tc>
      </w:tr>
      <w:tr>
        <w:tc>
          <w:tcPr>
            <w:tcW w:type="dxa" w:w="4320"/>
          </w:tcPr>
          <w:p>
            <w:r>
              <w:t>Live Portfolio Default Rate</w:t>
            </w:r>
          </w:p>
        </w:tc>
        <w:tc>
          <w:tcPr>
            <w:tcW w:type="dxa" w:w="4320"/>
          </w:tcPr>
          <w:p>
            <w:r>
              <w:t>25.8934%</w:t>
            </w:r>
          </w:p>
        </w:tc>
      </w:tr>
      <w:tr>
        <w:tc>
          <w:tcPr>
            <w:tcW w:type="dxa" w:w="4320"/>
          </w:tcPr>
          <w:p>
            <w:r>
              <w:t>Measured From</w:t>
            </w:r>
          </w:p>
        </w:tc>
        <w:tc>
          <w:tcPr>
            <w:tcW w:type="dxa" w:w="4320"/>
          </w:tcPr>
          <w:p>
            <w:r>
              <w:t>notebook_05_summary.json; train_labels.csv (this run)</w:t>
            </w:r>
          </w:p>
        </w:tc>
      </w:tr>
    </w:tbl>
    <w:p>
      <w:pPr>
        <w:pStyle w:val="ListBullet"/>
      </w:pPr>
      <w:r>
        <w:t>ASSUMPTION inputs (stated, editable -- Sections 4-5 of the notebook):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Deployment Portfolio Size Accounts</w:t>
            </w:r>
          </w:p>
        </w:tc>
        <w:tc>
          <w:tcPr>
            <w:tcW w:type="dxa" w:w="4320"/>
          </w:tcPr>
          <w:p>
            <w:r>
              <w:t>2,000,000</w:t>
            </w:r>
          </w:p>
        </w:tc>
      </w:tr>
      <w:tr>
        <w:tc>
          <w:tcPr>
            <w:tcW w:type="dxa" w:w="4320"/>
          </w:tcPr>
          <w:p>
            <w:r>
              <w:t>Avg Exposure At Default Usd</w:t>
            </w:r>
          </w:p>
        </w:tc>
        <w:tc>
          <w:tcPr>
            <w:tcW w:type="dxa" w:w="4320"/>
          </w:tcPr>
          <w:p>
            <w:r>
              <w:t>3,500</w:t>
            </w:r>
          </w:p>
        </w:tc>
      </w:tr>
      <w:tr>
        <w:tc>
          <w:tcPr>
            <w:tcW w:type="dxa" w:w="4320"/>
          </w:tcPr>
          <w:p>
            <w:r>
              <w:t>Legacy Model Top4Pct Capture Rate</w:t>
            </w:r>
          </w:p>
        </w:tc>
        <w:tc>
          <w:tcPr>
            <w:tcW w:type="dxa" w:w="4320"/>
          </w:tcPr>
          <w:p>
            <w:r>
              <w:t>25.00%</w:t>
            </w:r>
          </w:p>
        </w:tc>
      </w:tr>
      <w:tr>
        <w:tc>
          <w:tcPr>
            <w:tcW w:type="dxa" w:w="4320"/>
          </w:tcPr>
          <w:p>
            <w:r>
              <w:t>Collections Intervention Success Rate</w:t>
            </w:r>
          </w:p>
        </w:tc>
        <w:tc>
          <w:tcPr>
            <w:tcW w:type="dxa" w:w="4320"/>
          </w:tcPr>
          <w:p>
            <w:r>
              <w:t>35.00%</w:t>
            </w:r>
          </w:p>
        </w:tc>
      </w:tr>
      <w:tr>
        <w:tc>
          <w:tcPr>
            <w:tcW w:type="dxa" w:w="4320"/>
          </w:tcPr>
          <w:p>
            <w:r>
              <w:t>New Applicants Per Year</w:t>
            </w:r>
          </w:p>
        </w:tc>
        <w:tc>
          <w:tcPr>
            <w:tcW w:type="dxa" w:w="4320"/>
          </w:tcPr>
          <w:p>
            <w:r>
              <w:t>400,000</w:t>
            </w:r>
          </w:p>
        </w:tc>
      </w:tr>
      <w:tr>
        <w:tc>
          <w:tcPr>
            <w:tcW w:type="dxa" w:w="4320"/>
          </w:tcPr>
          <w:p>
            <w:r>
              <w:t>Incremental Approval Rate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Avg Annual Net Interest Margin Per Account Usd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</w:tbl>
    <w:p>
      <w:pPr>
        <w:pStyle w:val="Heading1"/>
      </w:pPr>
      <w:r>
        <w:t>3. Investment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(USD)</w:t>
            </w:r>
          </w:p>
        </w:tc>
      </w:tr>
      <w:tr>
        <w:tc>
          <w:tcPr>
            <w:tcW w:type="dxa" w:w="4320"/>
          </w:tcPr>
          <w:p>
            <w:r>
              <w:t>Data Science / ML Engineering (4 FTE x 4 months)</w:t>
            </w:r>
          </w:p>
        </w:tc>
        <w:tc>
          <w:tcPr>
            <w:tcW w:type="dxa" w:w="4320"/>
          </w:tcPr>
          <w:p>
            <w:r>
              <w:t>$224,000</w:t>
            </w:r>
          </w:p>
        </w:tc>
      </w:tr>
      <w:tr>
        <w:tc>
          <w:tcPr>
            <w:tcW w:type="dxa" w:w="4320"/>
          </w:tcPr>
          <w:p>
            <w:r>
              <w:t>Independent Model Risk Validation (1 FTE x 6 weeks)</w:t>
            </w:r>
          </w:p>
        </w:tc>
        <w:tc>
          <w:tcPr>
            <w:tcW w:type="dxa" w:w="4320"/>
          </w:tcPr>
          <w:p>
            <w:r>
              <w:t>$24,000</w:t>
            </w:r>
          </w:p>
        </w:tc>
      </w:tr>
      <w:tr>
        <w:tc>
          <w:tcPr>
            <w:tcW w:type="dxa" w:w="4320"/>
          </w:tcPr>
          <w:p>
            <w:r>
              <w:t>Compliance &amp; Legal Review (Basel/IFRS9, fair-lending sign-off)</w:t>
            </w:r>
          </w:p>
        </w:tc>
        <w:tc>
          <w:tcPr>
            <w:tcW w:type="dxa" w:w="4320"/>
          </w:tcPr>
          <w:p>
            <w:r>
              <w:t>$40,000</w:t>
            </w:r>
          </w:p>
        </w:tc>
      </w:tr>
      <w:tr>
        <w:tc>
          <w:tcPr>
            <w:tcW w:type="dxa" w:w="4320"/>
          </w:tcPr>
          <w:p>
            <w:r>
              <w:t>MLOps / Platform Engineering (2 FTE x 3 months)</w:t>
            </w:r>
          </w:p>
        </w:tc>
        <w:tc>
          <w:tcPr>
            <w:tcW w:type="dxa" w:w="4320"/>
          </w:tcPr>
          <w:p>
            <w:r>
              <w:t>$78,000</w:t>
            </w:r>
          </w:p>
        </w:tc>
      </w:tr>
      <w:tr>
        <w:tc>
          <w:tcPr>
            <w:tcW w:type="dxa" w:w="4320"/>
          </w:tcPr>
          <w:p>
            <w:r>
              <w:t>Change Management &amp; Staff Retraining</w:t>
            </w:r>
          </w:p>
        </w:tc>
        <w:tc>
          <w:tcPr>
            <w:tcW w:type="dxa" w:w="4320"/>
          </w:tcPr>
          <w:p>
            <w:r>
              <w:t>$30,000</w:t>
            </w:r>
          </w:p>
        </w:tc>
      </w:tr>
      <w:tr>
        <w:tc>
          <w:tcPr>
            <w:tcW w:type="dxa" w:w="4320"/>
          </w:tcPr>
          <w:p>
            <w:r>
              <w:t>Cloud Infrastructure Setup &amp; Initial Compute</w:t>
            </w:r>
          </w:p>
        </w:tc>
        <w:tc>
          <w:tcPr>
            <w:tcW w:type="dxa" w:w="4320"/>
          </w:tcPr>
          <w:p>
            <w:r>
              <w:t>$25,000</w:t>
            </w:r>
          </w:p>
        </w:tc>
      </w:tr>
    </w:tbl>
    <w:p>
      <w:r>
        <w:t>Total one-time investment: $421,000</w:t>
      </w:r>
    </w:p>
    <w:p>
      <w:r>
        <w:t>Total monthly recurring cost post go-live: $16,500/month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investment_break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Financial Projections (Base Scenario)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Horizon</w:t>
            </w:r>
          </w:p>
        </w:tc>
        <w:tc>
          <w:tcPr>
            <w:tcW w:type="dxa" w:w="1728"/>
          </w:tcPr>
          <w:p>
            <w:r>
              <w:t>Cumulative Cost</w:t>
            </w:r>
          </w:p>
        </w:tc>
        <w:tc>
          <w:tcPr>
            <w:tcW w:type="dxa" w:w="1728"/>
          </w:tcPr>
          <w:p>
            <w:r>
              <w:t>Cumulative Benefit</w:t>
            </w:r>
          </w:p>
        </w:tc>
        <w:tc>
          <w:tcPr>
            <w:tcW w:type="dxa" w:w="1728"/>
          </w:tcPr>
          <w:p>
            <w:r>
              <w:t>Cumulative Net</w:t>
            </w:r>
          </w:p>
        </w:tc>
        <w:tc>
          <w:tcPr>
            <w:tcW w:type="dxa" w:w="1728"/>
          </w:tcPr>
          <w:p>
            <w:r>
              <w:t>ROI %</w:t>
            </w:r>
          </w:p>
        </w:tc>
      </w:tr>
      <w:tr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$70,167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$-70,167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3 Months</w:t>
            </w:r>
          </w:p>
        </w:tc>
        <w:tc>
          <w:tcPr>
            <w:tcW w:type="dxa" w:w="1728"/>
          </w:tcPr>
          <w:p>
            <w:r>
              <w:t>$210,500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$-210,500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6 Months</w:t>
            </w:r>
          </w:p>
        </w:tc>
        <w:tc>
          <w:tcPr>
            <w:tcW w:type="dxa" w:w="1728"/>
          </w:tcPr>
          <w:p>
            <w:r>
              <w:t>$421,000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$-421,000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$520,000</w:t>
            </w:r>
          </w:p>
        </w:tc>
        <w:tc>
          <w:tcPr>
            <w:tcW w:type="dxa" w:w="1728"/>
          </w:tcPr>
          <w:p>
            <w:r>
              <w:t>$77,196,133</w:t>
            </w:r>
          </w:p>
        </w:tc>
        <w:tc>
          <w:tcPr>
            <w:tcW w:type="dxa" w:w="1728"/>
          </w:tcPr>
          <w:p>
            <w:r>
              <w:t>$76,676,133</w:t>
            </w:r>
          </w:p>
        </w:tc>
        <w:tc>
          <w:tcPr>
            <w:tcW w:type="dxa" w:w="1728"/>
          </w:tcPr>
          <w:p>
            <w:r>
              <w:t>14745%</w:t>
            </w:r>
          </w:p>
        </w:tc>
      </w:tr>
      <w:tr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$718,000</w:t>
            </w:r>
          </w:p>
        </w:tc>
        <w:tc>
          <w:tcPr>
            <w:tcW w:type="dxa" w:w="1728"/>
          </w:tcPr>
          <w:p>
            <w:r>
              <w:t>$341,868,591</w:t>
            </w:r>
          </w:p>
        </w:tc>
        <w:tc>
          <w:tcPr>
            <w:tcW w:type="dxa" w:w="1728"/>
          </w:tcPr>
          <w:p>
            <w:r>
              <w:t>$341,150,591</w:t>
            </w:r>
          </w:p>
        </w:tc>
        <w:tc>
          <w:tcPr>
            <w:tcW w:type="dxa" w:w="1728"/>
          </w:tcPr>
          <w:p>
            <w:r>
              <w:t>47514%</w:t>
            </w:r>
          </w:p>
        </w:tc>
      </w:tr>
      <w:tr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$916,000</w:t>
            </w:r>
          </w:p>
        </w:tc>
        <w:tc>
          <w:tcPr>
            <w:tcW w:type="dxa" w:w="1728"/>
          </w:tcPr>
          <w:p>
            <w:r>
              <w:t>$606,541,048</w:t>
            </w:r>
          </w:p>
        </w:tc>
        <w:tc>
          <w:tcPr>
            <w:tcW w:type="dxa" w:w="1728"/>
          </w:tcPr>
          <w:p>
            <w:r>
              <w:t>$605,625,048</w:t>
            </w:r>
          </w:p>
        </w:tc>
        <w:tc>
          <w:tcPr>
            <w:tcW w:type="dxa" w:w="1728"/>
          </w:tcPr>
          <w:p>
            <w:r>
              <w:t>66116%</w:t>
            </w:r>
          </w:p>
        </w:tc>
      </w:tr>
      <w:tr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$1,312,000</w:t>
            </w:r>
          </w:p>
        </w:tc>
        <w:tc>
          <w:tcPr>
            <w:tcW w:type="dxa" w:w="1728"/>
          </w:tcPr>
          <w:p>
            <w:r>
              <w:t>$1,135,885,962</w:t>
            </w:r>
          </w:p>
        </w:tc>
        <w:tc>
          <w:tcPr>
            <w:tcW w:type="dxa" w:w="1728"/>
          </w:tcPr>
          <w:p>
            <w:r>
              <w:t>$1,134,573,962</w:t>
            </w:r>
          </w:p>
        </w:tc>
        <w:tc>
          <w:tcPr>
            <w:tcW w:type="dxa" w:w="1728"/>
          </w:tcPr>
          <w:p>
            <w:r>
              <w:t>86477%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cumulative_net_benefi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roi_by_horiz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annual_benefit_breakdow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Scenario Comparison (Conservative / Base / Optimistic)</w:t>
      </w:r>
    </w:p>
    <w:p>
      <w:r>
        <w:t>Scenarios scale the BENEFIT side only (conservative x0.7, base x1.0, optimistic x1.3) -- costs are held fixed across scenarios since they represent up-front staffing/infrastructure commitments, not outcomes that vary with deployment performance.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5-Year Net Benefit</w:t>
            </w:r>
          </w:p>
        </w:tc>
        <w:tc>
          <w:tcPr>
            <w:tcW w:type="dxa" w:w="2160"/>
          </w:tcPr>
          <w:p>
            <w:r>
              <w:t>5-Year ROI %</w:t>
            </w:r>
          </w:p>
        </w:tc>
        <w:tc>
          <w:tcPr>
            <w:tcW w:type="dxa" w:w="2160"/>
          </w:tcPr>
          <w:p>
            <w:r>
              <w:t>Payback (months)</w:t>
            </w:r>
          </w:p>
        </w:tc>
      </w:tr>
      <w:tr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$793,808,174</w:t>
            </w:r>
          </w:p>
        </w:tc>
        <w:tc>
          <w:tcPr>
            <w:tcW w:type="dxa" w:w="2160"/>
          </w:tcPr>
          <w:p>
            <w:r>
              <w:t>60504%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$1,134,573,962</w:t>
            </w:r>
          </w:p>
        </w:tc>
        <w:tc>
          <w:tcPr>
            <w:tcW w:type="dxa" w:w="2160"/>
          </w:tcPr>
          <w:p>
            <w:r>
              <w:t>86477%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$1,475,339,751</w:t>
            </w:r>
          </w:p>
        </w:tc>
        <w:tc>
          <w:tcPr>
            <w:tcW w:type="dxa" w:w="2160"/>
          </w:tcPr>
          <w:p>
            <w:r>
              <w:t>112450%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pPr>
        <w:pStyle w:val="Heading1"/>
      </w:pPr>
      <w:r>
        <w:t>6. Model Performance Basis (Measured)</w:t>
      </w:r>
    </w:p>
    <w:p>
      <w:r>
        <w:drawing>
          <wp:inline xmlns:a="http://schemas.openxmlformats.org/drawingml/2006/main" xmlns:pic="http://schemas.openxmlformats.org/drawingml/2006/picture">
            <wp:extent cx="5029200" cy="4255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capture_rate_comparison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financial case's loss-avoidance component depends on the measured improvement in Top-4% default capture over the assumed legacy baseline: +41.30% percentage points.</w:t>
      </w:r>
    </w:p>
    <w:p>
      <w:pPr>
        <w:pStyle w:val="Heading1"/>
      </w:pPr>
      <w:r>
        <w:t>7. Implementation Timeline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implementation_timelin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 Week</w:t>
            </w:r>
          </w:p>
        </w:tc>
        <w:tc>
          <w:tcPr>
            <w:tcW w:type="dxa" w:w="2880"/>
          </w:tcPr>
          <w:p>
            <w:r>
              <w:t>Duration (weeks)</w:t>
            </w:r>
          </w:p>
        </w:tc>
      </w:tr>
      <w:tr>
        <w:tc>
          <w:tcPr>
            <w:tcW w:type="dxa" w:w="2880"/>
          </w:tcPr>
          <w:p>
            <w:r>
              <w:t>1. Discovery &amp; Scoping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2. Data Engineering Hardening (productionize Notebooks 02/04 pipelines)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3. Model Finalization &amp; Sign-off (Notebook 05)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4. Model Risk Validation &amp; Compliance Review (Notebooks 07/08)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5. MLOps Build-Out &amp; Deployment (Notebooks 09-11)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6. UAT &amp; Shadow-Mode Parallel Run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7. Go-Live &amp; Hypercare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>Total implementation duration: 22 weeks (~5.1 months)</w:t>
      </w:r>
    </w:p>
    <w:p>
      <w:pPr>
        <w:pStyle w:val="Heading1"/>
      </w:pPr>
      <w:r>
        <w:t>8. Ongoing Monitoring Cost</w:t>
      </w:r>
    </w:p>
    <w:p>
      <w:r>
        <w:t>$16,500/month post go-live, covering cloud hosting/inference, MRM oversight, and amortized quarterly retraining (breakdown in Section 5's monthly recurring cost table).</w:t>
      </w:r>
    </w:p>
    <w:p>
      <w:pPr>
        <w:pStyle w:val="Heading1"/>
      </w:pPr>
      <w:r>
        <w:t>9. SMART Recommendations by Team</w:t>
      </w:r>
    </w:p>
    <w:p>
      <w:pPr>
        <w:pStyle w:val="Heading2"/>
      </w:pPr>
      <w:r>
        <w:t>Executive Leadership / CRO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Approve production deployment funding based on the modeled 5-year net benefit.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5-year cumulative net benefit $1,134,573,962, ROI 86477%, payback in 7 months (base scenario).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Champion model measured holdout AMEX metric 0.7936, a real, validated result from Notebook 05.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Portfolio-wide default exposure and capital adequacy are the CRO's direct mandate.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Funding decision within 1 sprint of this report; re-review assumptions annually.</w:t>
            </w:r>
          </w:p>
        </w:tc>
      </w:tr>
    </w:tbl>
    <w:p>
      <w:pPr>
        <w:pStyle w:val="Heading2"/>
      </w:pPr>
      <w:r>
        <w:t>Head of Credit Risk / Underwriting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Replace the legacy scorecard's top-4% flagging logic with the new champion model's output.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Measured Top-4% default capture improves from an assumed 25% (legacy) to 66.3% (new model, measured).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 new data collection required -- Notebook 05's model scores directly on the existing feature store.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Directly drives the loss-avoided component of the financial case.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Cutover during Phase 5-6 of the implementation plan (weeks 11-20).</w:t>
            </w:r>
          </w:p>
        </w:tc>
      </w:tr>
    </w:tbl>
    <w:p>
      <w:pPr>
        <w:pStyle w:val="Heading2"/>
      </w:pPr>
      <w:r>
        <w:t>Model Risk Management / Independent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Complete (or re-confirm) SR 11-7-style independent validation before go-live.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Notebook 07 assigned risk tier 'Tier 2 (Medium)'.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Notebook 07 runs PSI, rank-ordering, sensitivity, and challenger-benchmark checks directly against Notebook 05's saved champion.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Regulatory and internal governance prerequisite for any credit-decisioning model.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Must complete during Phase 4 (Model Risk Validation &amp; Compliance Review) before Phase 5 begins.</w:t>
            </w:r>
          </w:p>
        </w:tc>
      </w:tr>
    </w:tbl>
    <w:p>
      <w:pPr>
        <w:pStyle w:val="Heading2"/>
      </w:pPr>
      <w:r>
        <w:t>Compliance / Regulatory Affairs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Complete Basel III / IFRS 9 capital-treatment mapping and fair-lending review.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0 feature(s) flagged with significant population shift (Notebook 07).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Notebook 08 (Basel III / IFRS 9 Mapping) produces the required documentation trail.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Deployment cannot proceed at a regulated card issuer without this sign-off.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within Phase 4, in parallel with Model Risk Management.</w:t>
            </w:r>
          </w:p>
        </w:tc>
      </w:tr>
    </w:tbl>
    <w:p>
      <w:pPr>
        <w:pStyle w:val="Heading2"/>
      </w:pPr>
      <w:r>
        <w:t>Collections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Build the intervention workflow (outreach, credit-line adjustment) for accounts newly flagged by the improved model.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Assumed 35% intervention success rate drives $262,032,457/year in modeled loss avoidance -- track actual realized success rate against this assumption post go-live.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Workflow changes only, no new systems required beyond the model's output feed.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Realizing the loss-avoided benefit depends entirely on Collections actually acting on the model's flags.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Operational by end of Phase 6 (UAT &amp; Shadow-Mode).</w:t>
            </w:r>
          </w:p>
        </w:tc>
      </w:tr>
    </w:tbl>
    <w:p>
      <w:pPr>
        <w:pStyle w:val="Heading2"/>
      </w:pPr>
      <w:r>
        <w:t>Data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Productionize the Notebook 02/04 Polars feature-store pipeline for daily/real-time scoring.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Pipeline must reproduce the same feature set the champion model was trained on (see Notebook 04's engineered feature columns).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Pipeline already exists and runs end-to-end in this platform; this is a hardening/scheduling task, not new development.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Every downstream number in this report assumes the production feature set matches what Notebook 05 trained on.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during Phase 2 (weeks 2-5).</w:t>
            </w:r>
          </w:p>
        </w:tc>
      </w:tr>
    </w:tbl>
    <w:p>
      <w:pPr>
        <w:pStyle w:val="Heading2"/>
      </w:pPr>
      <w:r>
        <w:t>MLOps / Platform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Stand up the FastAPI scoring service, Docker packaging, and monitoring pipeline (Notebooks 09-12).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Monthly recurring cost budget: $16,500/month post go-live (assumption, Section 5).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Architecture and monitoring triggers (PSI &gt; 0.25) are already defined in this platform's governance docs.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Deployment reliability and drift monitoring directly protect the modeled financial benefit from decaying silently.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during Phase 5 (weeks 9-14).</w:t>
            </w:r>
          </w:p>
        </w:tc>
      </w:tr>
    </w:tbl>
    <w:p>
      <w:pPr>
        <w:pStyle w:val="Heading2"/>
      </w:pPr>
      <w:r>
        <w:t>Card Issuing / Product Business Unit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Adjust approval-policy thresholds to capture the modeled incremental-approval opportunity.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$2,640,000/year modeled revenue uplift from a stated 3%-point increase in approvals among 400,000 assumed annual applicants.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Requires only a policy-threshold change once the new model's calibration is validated (Notebook 07).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New-business revenue is the second major component of the financial case, alongside loss avoidance.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Threshold change effective at go-live (Phase 7).</w:t>
            </w:r>
          </w:p>
        </w:tc>
      </w:tr>
    </w:tbl>
    <w:p>
      <w:pPr>
        <w:pStyle w:val="Heading2"/>
      </w:pPr>
      <w:r>
        <w:t>Finance / CFO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Track realized costs and benefits against this report's modeled figures on a monthly cadence.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Total one-time investment $421,000; monthly recurring $16,500; base-scenario payback at month 7.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monthly_financial_model.csv (this notebook's own output) gives a ready-made tracking template.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Validates or corrects this report's assumptions with real realized figures as they become available.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First realized-vs-modeled variance review at month 3 post go-live, then quarterly.</w:t>
            </w:r>
          </w:p>
        </w:tc>
      </w:tr>
    </w:tbl>
    <w:p>
      <w:pPr>
        <w:pStyle w:val="Heading2"/>
      </w:pPr>
      <w:r>
        <w:t>External Regulator Engagement (e.g. Federal Reserve / OCC)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Maintain the full documentation trail (Notebooks 01, 05, 07, 08, 14) as supervisory evidence.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9 governance dimensions tracked in Notebook 07's checklist -- current tier: Tier 2 (Medium).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Every document already exists as a notebook output; no new artifact type required.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SR 11-7 / OCC 2011-12 examinations expect exactly this kind of end-to-end evidentiary trail.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Documentation package finalized before go-live (end of Phase 6).</w:t>
            </w:r>
          </w:p>
        </w:tc>
      </w:tr>
    </w:tbl>
    <w:p>
      <w:pPr>
        <w:pStyle w:val="Heading1"/>
      </w:pPr>
      <w:r>
        <w:t>10. Limitations &amp; Disclaimers</w:t>
      </w:r>
    </w:p>
    <w:p>
      <w:pPr>
        <w:pStyle w:val="ListBullet"/>
      </w:pPr>
      <w:r>
        <w:t>All dollar figures rest on the stated hypothetical scenario in Sections 4-5, not real AMEX financials -- the Kaggle dataset contains no revenue, cost, or investment data for any institution.</w:t>
      </w:r>
    </w:p>
    <w:p>
      <w:pPr>
        <w:pStyle w:val="ListBullet"/>
      </w:pPr>
      <w:r>
        <w:t>This report is a worked methodology with editable assumption constants, not investment, accounting, tax, or regulatory advice. Consult your institution's finance, actuarial, and compliance functions before acting on any figure in this report.</w:t>
      </w:r>
    </w:p>
    <w:p>
      <w:pPr>
        <w:pStyle w:val="ListBullet"/>
      </w:pPr>
      <w:r>
        <w:t>Benefit realization depends on operational execution (e.g. Collections actually acting on model flags) that this report cannot guarantee -- see the SMART recommendations above for the operational prerequisites.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