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AMEX Enterprise Credit Risk Platform</w:t>
      </w:r>
    </w:p>
    <w:p>
      <w:r>
        <w:t>Model Validation Report -- Notebook 07 (Model Risk Management)</w:t>
      </w:r>
    </w:p>
    <w:p>
      <w:r>
        <w:t>Generated: 2026-08-23 21:40</w:t>
      </w:r>
    </w:p>
    <w:p>
      <w:r>
        <w:t>Framework: independent model validation in the spirit of SR 11-7 / OCC 2011-12 supervisory guidance on model risk management. Every figure in this report was computed live by Notebook 07 during this run (or read directly from Notebook 05's own saved output) -- nothing is illustrative or assumed.</w:t>
      </w:r>
    </w:p>
    <w:p>
      <w:pPr>
        <w:pStyle w:val="Heading1"/>
      </w:pPr>
      <w:r>
        <w:t>1. Model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Champion Model</w:t>
            </w:r>
          </w:p>
        </w:tc>
        <w:tc>
          <w:tcPr>
            <w:tcW w:type="dxa" w:w="4320"/>
          </w:tcPr>
          <w:p>
            <w:r>
              <w:t>xgboost</w:t>
            </w:r>
          </w:p>
        </w:tc>
      </w:tr>
      <w:tr>
        <w:tc>
          <w:tcPr>
            <w:tcW w:type="dxa" w:w="4320"/>
          </w:tcPr>
          <w:p>
            <w:r>
              <w:t>Feature Count</w:t>
            </w:r>
          </w:p>
        </w:tc>
        <w:tc>
          <w:tcPr>
            <w:tcW w:type="dxa" w:w="4320"/>
          </w:tcPr>
          <w:p>
            <w:r>
              <w:t>1804</w:t>
            </w:r>
          </w:p>
        </w:tc>
      </w:tr>
      <w:tr>
        <w:tc>
          <w:tcPr>
            <w:tcW w:type="dxa" w:w="4320"/>
          </w:tcPr>
          <w:p>
            <w:r>
              <w:t>Categorical Features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Numeric Features</w:t>
            </w:r>
          </w:p>
        </w:tc>
        <w:tc>
          <w:tcPr>
            <w:tcW w:type="dxa" w:w="4320"/>
          </w:tcPr>
          <w:p>
            <w:r>
              <w:t>1793</w:t>
            </w:r>
          </w:p>
        </w:tc>
      </w:tr>
      <w:tr>
        <w:tc>
          <w:tcPr>
            <w:tcW w:type="dxa" w:w="4320"/>
          </w:tcPr>
          <w:p>
            <w:r>
              <w:t>Holdout Customers Evaluated</w:t>
            </w:r>
          </w:p>
        </w:tc>
        <w:tc>
          <w:tcPr>
            <w:tcW w:type="dxa" w:w="4320"/>
          </w:tcPr>
          <w:p>
            <w:r>
              <w:t>91783</w:t>
            </w:r>
          </w:p>
        </w:tc>
      </w:tr>
      <w:tr>
        <w:tc>
          <w:tcPr>
            <w:tcW w:type="dxa" w:w="4320"/>
          </w:tcPr>
          <w:p>
            <w:r>
              <w:t>Holdout Default Rate</w:t>
            </w:r>
          </w:p>
        </w:tc>
        <w:tc>
          <w:tcPr>
            <w:tcW w:type="dxa" w:w="4320"/>
          </w:tcPr>
          <w:p>
            <w:r>
              <w:t>25.8937%</w:t>
            </w:r>
          </w:p>
        </w:tc>
      </w:tr>
    </w:tbl>
    <w:p>
      <w:pPr>
        <w:pStyle w:val="Heading1"/>
      </w:pPr>
      <w:r>
        <w:t>2. Conceptual Soundness</w:t>
      </w:r>
    </w:p>
    <w:p>
      <w:r>
        <w:t>The champion was selected in Notebook 05 from a 7-model zoo (Logistic Regression, Random Forest, Extra Trees, Histogram Gradient Boosting, XGBoost, LightGBM, CatBoost) using stratified 5-fold cross-validation plus an unbiased holdout evaluation, ranked by the official AMEX competition metric (0.5 x Normalized Gini + 0.5 x Top-4%-Capture-Rate). Preprocessing (median imputation, categorical label-encoding, standardization) was fit once on the training split only, with no target leakage.</w:t>
      </w:r>
    </w:p>
    <w:p>
      <w:pPr>
        <w:pStyle w:val="Heading1"/>
      </w:pPr>
      <w:r>
        <w:t>3. Outcomes Analysis -- Rank-Ordering</w:t>
      </w:r>
    </w:p>
    <w:p>
      <w:r>
        <w:t>Predicted risk deciles were checked against actual holdout default rates. 0 inversion(s) were found across 9 adjacent decile pairs. Rank-ordering is fully monotonic.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Decile</w:t>
            </w:r>
          </w:p>
        </w:tc>
        <w:tc>
          <w:tcPr>
            <w:tcW w:type="dxa" w:w="2160"/>
          </w:tcPr>
          <w:p>
            <w:r>
              <w:t>N Customers</w:t>
            </w:r>
          </w:p>
        </w:tc>
        <w:tc>
          <w:tcPr>
            <w:tcW w:type="dxa" w:w="2160"/>
          </w:tcPr>
          <w:p>
            <w:r>
              <w:t>Avg Predicted</w:t>
            </w:r>
          </w:p>
        </w:tc>
        <w:tc>
          <w:tcPr>
            <w:tcW w:type="dxa" w:w="2160"/>
          </w:tcPr>
          <w:p>
            <w:r>
              <w:t>Actual Default Rate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9,179</w:t>
            </w:r>
          </w:p>
        </w:tc>
        <w:tc>
          <w:tcPr>
            <w:tcW w:type="dxa" w:w="2160"/>
          </w:tcPr>
          <w:p>
            <w:r>
              <w:t>0.0010</w:t>
            </w:r>
          </w:p>
        </w:tc>
        <w:tc>
          <w:tcPr>
            <w:tcW w:type="dxa" w:w="2160"/>
          </w:tcPr>
          <w:p>
            <w:r>
              <w:t>0.0004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9,178</w:t>
            </w:r>
          </w:p>
        </w:tc>
        <w:tc>
          <w:tcPr>
            <w:tcW w:type="dxa" w:w="2160"/>
          </w:tcPr>
          <w:p>
            <w:r>
              <w:t>0.0018</w:t>
            </w:r>
          </w:p>
        </w:tc>
        <w:tc>
          <w:tcPr>
            <w:tcW w:type="dxa" w:w="2160"/>
          </w:tcPr>
          <w:p>
            <w:r>
              <w:t>0.0008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9,178</w:t>
            </w:r>
          </w:p>
        </w:tc>
        <w:tc>
          <w:tcPr>
            <w:tcW w:type="dxa" w:w="2160"/>
          </w:tcPr>
          <w:p>
            <w:r>
              <w:t>0.0031</w:t>
            </w:r>
          </w:p>
        </w:tc>
        <w:tc>
          <w:tcPr>
            <w:tcW w:type="dxa" w:w="2160"/>
          </w:tcPr>
          <w:p>
            <w:r>
              <w:t>0.0009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9,178</w:t>
            </w:r>
          </w:p>
        </w:tc>
        <w:tc>
          <w:tcPr>
            <w:tcW w:type="dxa" w:w="2160"/>
          </w:tcPr>
          <w:p>
            <w:r>
              <w:t>0.0063</w:t>
            </w:r>
          </w:p>
        </w:tc>
        <w:tc>
          <w:tcPr>
            <w:tcW w:type="dxa" w:w="2160"/>
          </w:tcPr>
          <w:p>
            <w:r>
              <w:t>0.0040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9,179</w:t>
            </w:r>
          </w:p>
        </w:tc>
        <w:tc>
          <w:tcPr>
            <w:tcW w:type="dxa" w:w="2160"/>
          </w:tcPr>
          <w:p>
            <w:r>
              <w:t>0.0163</w:t>
            </w:r>
          </w:p>
        </w:tc>
        <w:tc>
          <w:tcPr>
            <w:tcW w:type="dxa" w:w="2160"/>
          </w:tcPr>
          <w:p>
            <w:r>
              <w:t>0.0153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9,178</w:t>
            </w:r>
          </w:p>
        </w:tc>
        <w:tc>
          <w:tcPr>
            <w:tcW w:type="dxa" w:w="2160"/>
          </w:tcPr>
          <w:p>
            <w:r>
              <w:t>0.0569</w:t>
            </w:r>
          </w:p>
        </w:tc>
        <w:tc>
          <w:tcPr>
            <w:tcW w:type="dxa" w:w="2160"/>
          </w:tcPr>
          <w:p>
            <w:r>
              <w:t>0.0601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9,178</w:t>
            </w:r>
          </w:p>
        </w:tc>
        <w:tc>
          <w:tcPr>
            <w:tcW w:type="dxa" w:w="2160"/>
          </w:tcPr>
          <w:p>
            <w:r>
              <w:t>0.2184</w:t>
            </w:r>
          </w:p>
        </w:tc>
        <w:tc>
          <w:tcPr>
            <w:tcW w:type="dxa" w:w="2160"/>
          </w:tcPr>
          <w:p>
            <w:r>
              <w:t>0.2239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9,178</w:t>
            </w:r>
          </w:p>
        </w:tc>
        <w:tc>
          <w:tcPr>
            <w:tcW w:type="dxa" w:w="2160"/>
          </w:tcPr>
          <w:p>
            <w:r>
              <w:t>0.5223</w:t>
            </w:r>
          </w:p>
        </w:tc>
        <w:tc>
          <w:tcPr>
            <w:tcW w:type="dxa" w:w="2160"/>
          </w:tcPr>
          <w:p>
            <w:r>
              <w:t>0.5202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9,178</w:t>
            </w:r>
          </w:p>
        </w:tc>
        <w:tc>
          <w:tcPr>
            <w:tcW w:type="dxa" w:w="2160"/>
          </w:tcPr>
          <w:p>
            <w:r>
              <w:t>0.7969</w:t>
            </w:r>
          </w:p>
        </w:tc>
        <w:tc>
          <w:tcPr>
            <w:tcW w:type="dxa" w:w="2160"/>
          </w:tcPr>
          <w:p>
            <w:r>
              <w:t>0.7997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9,179</w:t>
            </w:r>
          </w:p>
        </w:tc>
        <w:tc>
          <w:tcPr>
            <w:tcW w:type="dxa" w:w="2160"/>
          </w:tcPr>
          <w:p>
            <w:r>
              <w:t>0.9618</w:t>
            </w:r>
          </w:p>
        </w:tc>
        <w:tc>
          <w:tcPr>
            <w:tcW w:type="dxa" w:w="2160"/>
          </w:tcPr>
          <w:p>
            <w:r>
              <w:t>0.9640</w:t>
            </w:r>
          </w:p>
        </w:tc>
      </w:tr>
    </w:tbl>
    <w:p>
      <w:pPr>
        <w:pStyle w:val="Heading1"/>
      </w:pPr>
      <w:r>
        <w:t>4. Stability Analysis -- Population Stability Index</w:t>
      </w:r>
    </w:p>
    <w:p>
      <w:r>
        <w:t>PSI was computed for the top 30 features by champion importance, comparing the train split's distribution to the holdout split's. 0 feature(s) exceeded the 0.25 significant-shift threshold. No stability concerns were found.</w:t>
      </w:r>
    </w:p>
    <w:p>
      <w:pPr>
        <w:pStyle w:val="Heading1"/>
      </w:pPr>
      <w:r>
        <w:t>5. Sensitivity Analysis</w:t>
      </w:r>
    </w:p>
    <w:p>
      <w:r>
        <w:t>One-feature-at-a-time perturbation (+/-1 training-set standard deviation) was applied to the top 15 features on a 500-customer holdout sample. GPU predict was faster on a 200-row probe (0.0044s vs CPU 0.0062s) -- using GPU for this section. The most sensitive features were:</w:t>
      </w:r>
    </w:p>
    <w:p>
      <w:pPr>
        <w:pStyle w:val="ListBullet"/>
      </w:pPr>
      <w:r>
        <w:t>P_2_last: avg absolute sensitivity 0.03591</w:t>
      </w:r>
    </w:p>
    <w:p>
      <w:pPr>
        <w:pStyle w:val="ListBullet"/>
      </w:pPr>
      <w:r>
        <w:t>interaction_P_2_last_x_B_2_last: avg absolute sensitivity 0.01761</w:t>
      </w:r>
    </w:p>
    <w:p>
      <w:pPr>
        <w:pStyle w:val="ListBullet"/>
      </w:pPr>
      <w:r>
        <w:t>R_1_last: avg absolute sensitivity 0.00968</w:t>
      </w:r>
    </w:p>
    <w:p>
      <w:pPr>
        <w:pStyle w:val="ListBullet"/>
      </w:pPr>
      <w:r>
        <w:t>D_42_mean: avg absolute sensitivity 0.00758</w:t>
      </w:r>
    </w:p>
    <w:p>
      <w:pPr>
        <w:pStyle w:val="ListBullet"/>
      </w:pPr>
      <w:r>
        <w:t>interaction_P_2_last_x_B_18_last: avg absolute sensitivity 0.00700</w:t>
      </w:r>
    </w:p>
    <w:p>
      <w:pPr>
        <w:pStyle w:val="Heading1"/>
      </w:pPr>
      <w:r>
        <w:t>6. Challenger Benchmark</w:t>
      </w:r>
    </w:p>
    <w:p>
      <w:r>
        <w:t>Champion (xgboost) holdout AMEX metric 0.7936 vs. runner-up (catboost) at 0.7920 -- a gap of +0.00158. This margin is narrow; the runner-up should be monitored as a viable challenger.</w:t>
      </w:r>
    </w:p>
    <w:p>
      <w:pPr>
        <w:pStyle w:val="Heading1"/>
      </w:pPr>
      <w:r>
        <w:t>7. Model Risk Tier</w:t>
      </w:r>
    </w:p>
    <w:p>
      <w:r>
        <w:t>Assigned tier: Tier 2 (Medium) (total rubric score 8 -- complexity 3, stability 1, rank-ordering 1, business impact 3). Rubric thresholds: &lt;=6 Tier 3, 7-9 Tier 2, &gt;=10 Tier 1.</w:t>
      </w:r>
    </w:p>
    <w:p>
      <w:pPr>
        <w:pStyle w:val="Heading1"/>
      </w:pPr>
      <w:r>
        <w:t>8. Recommendations</w:t>
      </w:r>
    </w:p>
    <w:p>
      <w:pPr>
        <w:pStyle w:val="ListBullet"/>
      </w:pPr>
      <w:r>
        <w:t>Monitor catboost as a viable challenger given the narrow performance gap.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