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Technical Documentation Report -- Notebook 15</w:t>
      </w:r>
    </w:p>
    <w:p>
      <w:r>
        <w:t>Generated: 2026-08-23 23:27</w:t>
      </w:r>
    </w:p>
    <w:p>
      <w:pPr>
        <w:pStyle w:val="Heading1"/>
      </w:pPr>
      <w:r>
        <w:t>1. Platform Architecture</w:t>
      </w:r>
    </w:p>
    <w:p>
      <w:r>
        <w:t>The table below is the real dependency map enforced by every notebook's own Section 1 file-existence checks -- 'Has Run' reflects whether that notebook's summary artifact was actually found on disk this run, not a claim.</w:t>
      </w:r>
    </w:p>
    <w:p>
      <w:r>
        <w:drawing>
          <wp:inline xmlns:a="http://schemas.openxmlformats.org/drawingml/2006/main" xmlns:pic="http://schemas.openxmlformats.org/drawingml/2006/picture">
            <wp:extent cx="5760720" cy="4189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961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Notebook</w:t>
            </w:r>
          </w:p>
        </w:tc>
        <w:tc>
          <w:tcPr>
            <w:tcW w:type="dxa" w:w="1728"/>
          </w:tcPr>
          <w:p>
            <w:r>
              <w:t>Crisp Dm Stage</w:t>
            </w:r>
          </w:p>
        </w:tc>
        <w:tc>
          <w:tcPr>
            <w:tcW w:type="dxa" w:w="1728"/>
          </w:tcPr>
          <w:p>
            <w:r>
              <w:t>Depends On</w:t>
            </w:r>
          </w:p>
        </w:tc>
        <w:tc>
          <w:tcPr>
            <w:tcW w:type="dxa" w:w="1728"/>
          </w:tcPr>
          <w:p>
            <w:r>
              <w:t>Has Run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Business Understanding</w:t>
            </w:r>
          </w:p>
        </w:tc>
        <w:tc>
          <w:tcPr>
            <w:tcW w:type="dxa" w:w="1728"/>
          </w:tcPr>
          <w:p>
            <w:r>
              <w:t>Business Understanding</w:t>
            </w:r>
          </w:p>
        </w:tc>
        <w:tc>
          <w:tcPr>
            <w:tcW w:type="dxa" w:w="1728"/>
          </w:tcPr>
          <w:p>
            <w:r>
              <w:t>(none)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 Engineering</w:t>
            </w:r>
          </w:p>
        </w:tc>
        <w:tc>
          <w:tcPr>
            <w:tcW w:type="dxa" w:w="1728"/>
          </w:tcPr>
          <w:p>
            <w:r>
              <w:t>Data Preparation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Data Validation &amp; EDA</w:t>
            </w:r>
          </w:p>
        </w:tc>
        <w:tc>
          <w:tcPr>
            <w:tcW w:type="dxa" w:w="1728"/>
          </w:tcPr>
          <w:p>
            <w:r>
              <w:t>Data Understanding</w:t>
            </w:r>
          </w:p>
        </w:tc>
        <w:tc>
          <w:tcPr>
            <w:tcW w:type="dxa" w:w="1728"/>
          </w:tcPr>
          <w:p>
            <w:r>
              <w:t>1, 2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Feature Engineering</w:t>
            </w:r>
          </w:p>
        </w:tc>
        <w:tc>
          <w:tcPr>
            <w:tcW w:type="dxa" w:w="1728"/>
          </w:tcPr>
          <w:p>
            <w:r>
              <w:t>Data Preparation</w:t>
            </w:r>
          </w:p>
        </w:tc>
        <w:tc>
          <w:tcPr>
            <w:tcW w:type="dxa" w:w="1728"/>
          </w:tcPr>
          <w:p>
            <w:r>
              <w:t>1, 2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Model Development</w:t>
            </w:r>
          </w:p>
        </w:tc>
        <w:tc>
          <w:tcPr>
            <w:tcW w:type="dxa" w:w="1728"/>
          </w:tcPr>
          <w:p>
            <w:r>
              <w:t>Modeling</w:t>
            </w:r>
          </w:p>
        </w:tc>
        <w:tc>
          <w:tcPr>
            <w:tcW w:type="dxa" w:w="1728"/>
          </w:tcPr>
          <w:p>
            <w:r>
              <w:t>1, 4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Explainable AI (SHAP/LIME)</w:t>
            </w:r>
          </w:p>
        </w:tc>
        <w:tc>
          <w:tcPr>
            <w:tcW w:type="dxa" w:w="1728"/>
          </w:tcPr>
          <w:p>
            <w:r>
              <w:t>Evaluation</w:t>
            </w:r>
          </w:p>
        </w:tc>
        <w:tc>
          <w:tcPr>
            <w:tcW w:type="dxa" w:w="1728"/>
          </w:tcPr>
          <w:p>
            <w:r>
              <w:t>1, 5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Model Risk Management</w:t>
            </w:r>
          </w:p>
        </w:tc>
        <w:tc>
          <w:tcPr>
            <w:tcW w:type="dxa" w:w="1728"/>
          </w:tcPr>
          <w:p>
            <w:r>
              <w:t>Evaluation / Governance</w:t>
            </w:r>
          </w:p>
        </w:tc>
        <w:tc>
          <w:tcPr>
            <w:tcW w:type="dxa" w:w="1728"/>
          </w:tcPr>
          <w:p>
            <w:r>
              <w:t>1, 4, 5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Basel III / IFRS9 Mapping</w:t>
            </w:r>
          </w:p>
        </w:tc>
        <w:tc>
          <w:tcPr>
            <w:tcW w:type="dxa" w:w="1728"/>
          </w:tcPr>
          <w:p>
            <w:r>
              <w:t>Evaluation / Regulatory</w:t>
            </w:r>
          </w:p>
        </w:tc>
        <w:tc>
          <w:tcPr>
            <w:tcW w:type="dxa" w:w="1728"/>
          </w:tcPr>
          <w:p>
            <w:r>
              <w:t>1, 5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MLOps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1, 5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FastAPI Deployment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1, 5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Deployment</w:t>
            </w:r>
          </w:p>
        </w:tc>
        <w:tc>
          <w:tcPr>
            <w:tcW w:type="dxa" w:w="1728"/>
          </w:tcPr>
          <w:p>
            <w:r>
              <w:t>1, 10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Deployment / Ongoing Monitoring</w:t>
            </w:r>
          </w:p>
        </w:tc>
        <w:tc>
          <w:tcPr>
            <w:tcW w:type="dxa" w:w="1728"/>
          </w:tcPr>
          <w:p>
            <w:r>
              <w:t>1, 4, 5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Power BI Dashboard</w:t>
            </w:r>
          </w:p>
        </w:tc>
        <w:tc>
          <w:tcPr>
            <w:tcW w:type="dxa" w:w="1728"/>
          </w:tcPr>
          <w:p>
            <w:r>
              <w:t>Deployment / Business Intelligence</w:t>
            </w:r>
          </w:p>
        </w:tc>
        <w:tc>
          <w:tcPr>
            <w:tcW w:type="dxa" w:w="1728"/>
          </w:tcPr>
          <w:p>
            <w:r>
              <w:t>1, 4, 5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Executive Reports</w:t>
            </w:r>
          </w:p>
        </w:tc>
        <w:tc>
          <w:tcPr>
            <w:tcW w:type="dxa" w:w="1728"/>
          </w:tcPr>
          <w:p>
            <w:r>
              <w:t>Deployment / Business Reporting</w:t>
            </w:r>
          </w:p>
        </w:tc>
        <w:tc>
          <w:tcPr>
            <w:tcW w:type="dxa" w:w="1728"/>
          </w:tcPr>
          <w:p>
            <w:r>
              <w:t>1, 5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Technical Documentation</w:t>
            </w:r>
          </w:p>
        </w:tc>
        <w:tc>
          <w:tcPr>
            <w:tcW w:type="dxa" w:w="1728"/>
          </w:tcPr>
          <w:p>
            <w:r>
              <w:t>Deployment / Documentation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Production Architecture</w:t>
            </w:r>
          </w:p>
        </w:tc>
        <w:tc>
          <w:tcPr>
            <w:tcW w:type="dxa" w:w="1728"/>
          </w:tcPr>
          <w:p>
            <w:r>
              <w:t>Deployment / Architecture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Comprehensive Reporting</w:t>
            </w:r>
          </w:p>
        </w:tc>
        <w:tc>
          <w:tcPr>
            <w:tcW w:type="dxa" w:w="1728"/>
          </w:tcPr>
          <w:p>
            <w:r>
              <w:t>Deployment / Rollup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Repository Packaging</w:t>
            </w:r>
          </w:p>
        </w:tc>
        <w:tc>
          <w:tcPr>
            <w:tcW w:type="dxa" w:w="1728"/>
          </w:tcPr>
          <w:p>
            <w:r>
              <w:t>Deployment / Packaging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</w:tbl>
    <w:p>
      <w:pPr>
        <w:pStyle w:val="Heading1"/>
      </w:pPr>
      <w:r>
        <w:t>2. Platform Artifact Inventory (Live Filesystem Scan)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Pillar</w:t>
            </w:r>
          </w:p>
        </w:tc>
        <w:tc>
          <w:tcPr>
            <w:tcW w:type="dxa" w:w="1728"/>
          </w:tcPr>
          <w:p>
            <w:r>
              <w:t>Directory</w:t>
            </w:r>
          </w:p>
        </w:tc>
        <w:tc>
          <w:tcPr>
            <w:tcW w:type="dxa" w:w="1728"/>
          </w:tcPr>
          <w:p>
            <w:r>
              <w:t>File Count</w:t>
            </w:r>
          </w:p>
        </w:tc>
        <w:tc>
          <w:tcPr>
            <w:tcW w:type="dxa" w:w="1728"/>
          </w:tcPr>
          <w:p>
            <w:r>
              <w:t>Total Size Mb</w:t>
            </w:r>
          </w:p>
        </w:tc>
        <w:tc>
          <w:tcPr>
            <w:tcW w:type="dxa" w:w="1728"/>
          </w:tcPr>
          <w:p>
            <w:r>
              <w:t>Exists</w:t>
            </w:r>
          </w:p>
        </w:tc>
      </w:tr>
      <w:tr>
        <w:tc>
          <w:tcPr>
            <w:tcW w:type="dxa" w:w="1728"/>
          </w:tcPr>
          <w:p>
            <w:r>
              <w:t>business_documents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C:\Users\rnand\Downloads\amex-default-prediction\AMEX_Enterprise_Credit_Risk_Platform\Business_Documents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0.103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data_engineering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C:\Users\rnand\Downloads\amex-default-prediction\AMEX_Enterprise_Credit_Risk_Platform\Data_Engineering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7948.053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data_validation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C:\Users\rnand\Downloads\amex-default-prediction\AMEX_Enterprise_Credit_Risk_Platform\Data_Validation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0.507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feature_engineering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C:\Users\rnand\Downloads\amex-default-prediction\AMEX_Enterprise_Credit_Risk_Platform\Feature_Engineering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15824.95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model_development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C:\Users\rnand\Downloads\amex-default-prediction\AMEX_Enterprise_Credit_Risk_Platform\Model_Development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227.894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explainable_ai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C:\Users\rnand\Downloads\amex-default-prediction\AMEX_Enterprise_Credit_Risk_Platform\Explainable_AI_SHAP_LIME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26.691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model_risk_management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C:\Users\rnand\Downloads\amex-default-prediction\AMEX_Enterprise_Credit_Risk_Platform\Model_Risk_Management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0.281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basel_ifrs9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C:\Users\rnand\Downloads\amex-default-prediction\AMEX_Enterprise_Credit_Risk_Platform\Basel_III_IFRS9_Mapping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0.659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mlops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C:\Users\rnand\Downloads\amex-default-prediction\AMEX_Enterprise_Credit_Risk_Platform\MLOps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0.243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fastapi_deployment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C:\Users\rnand\Downloads\amex-default-prediction\AMEX_Enterprise_Credit_Risk_Platform\FastAPI_Deployment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0.732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docker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C:\Users\rnand\Downloads\amex-default-prediction\AMEX_Enterprise_Credit_Risk_Platform\Docker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0.147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monitoring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C:\Users\rnand\Downloads\amex-default-prediction\AMEX_Enterprise_Credit_Risk_Platform\Monitoring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0.419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powerbi_dashboard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C:\Users\rnand\Downloads\amex-default-prediction\AMEX_Enterprise_Credit_Risk_Platform\PowerBI_Dashboard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21.06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executive_reports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C:\Users\rnand\Downloads\amex-default-prediction\AMEX_Enterprise_Credit_Risk_Platform\Executive_Reports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0.911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technical_documentation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C:\Users\rnand\Downloads\amex-default-prediction\AMEX_Enterprise_Credit_Risk_Platform\Technical_Documentation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production_architecture</w:t>
            </w:r>
          </w:p>
        </w:tc>
        <w:tc>
          <w:tcPr>
            <w:tcW w:type="dxa" w:w="1728"/>
          </w:tcPr>
          <w:p>
            <w:r>
              <w:t>C:\Users\rnand\Downloads\amex-default-prediction\AMEX_Enterprise_Credit_Risk_Platform\Production_Architecture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</w:tbl>
    <w:p>
      <w:pPr>
        <w:pStyle w:val="Heading1"/>
      </w:pPr>
      <w:r>
        <w:t>3. Data Dictionary</w:t>
      </w:r>
    </w:p>
    <w:p>
      <w:r>
        <w:t>1804 features, built from Notebook 05's real fitted preprocessing artifacts.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Categories</w:t>
            </w:r>
          </w:p>
        </w:tc>
        <w:tc>
          <w:tcPr>
            <w:tcW w:type="dxa" w:w="1728"/>
          </w:tcPr>
          <w:p>
            <w:r>
              <w:t>Imputed Median</w:t>
            </w:r>
          </w:p>
        </w:tc>
        <w:tc>
          <w:tcPr>
            <w:tcW w:type="dxa" w:w="1728"/>
          </w:tcPr>
          <w:p>
            <w:r>
              <w:t>Champion Importance Rank</w:t>
            </w:r>
          </w:p>
        </w:tc>
      </w:tr>
      <w:tr>
        <w:tc>
          <w:tcPr>
            <w:tcW w:type="dxa" w:w="1728"/>
          </w:tcPr>
          <w:p>
            <w:r>
              <w:t>P_2_last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0.682651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interaction_P_2_last_x_B_18_last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0.37914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interaction_P_2_last_x_B_2_last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0.512893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B_1_last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0.033117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D_44_last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0.008034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D_42_mean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0.114901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R_1_last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0.005915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1728"/>
          </w:tcPr>
          <w:p>
            <w:r>
              <w:t>B_9_last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0.028322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1728"/>
          </w:tcPr>
          <w:p>
            <w:r>
              <w:t>B_11_last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0.021187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1728"/>
          </w:tcPr>
          <w:p>
            <w:r>
              <w:t>D_44_mean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0.007132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1728"/>
          </w:tcPr>
          <w:p>
            <w:r>
              <w:t>D_42_min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0.101665</w:t>
            </w:r>
          </w:p>
        </w:tc>
        <w:tc>
          <w:tcPr>
            <w:tcW w:type="dxa" w:w="1728"/>
          </w:tcPr>
          <w:p>
            <w:r>
              <w:t>11</w:t>
            </w:r>
          </w:p>
        </w:tc>
      </w:tr>
      <w:tr>
        <w:tc>
          <w:tcPr>
            <w:tcW w:type="dxa" w:w="1728"/>
          </w:tcPr>
          <w:p>
            <w:r>
              <w:t>D_42_max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0.124424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R_1_mean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0.005848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R_2_last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0.005409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1728"/>
          </w:tcPr>
          <w:p>
            <w:r>
              <w:t>D_45_max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0.182488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1728"/>
          </w:tcPr>
          <w:p>
            <w:r>
              <w:t>R_3_mean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0.072833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1728"/>
          </w:tcPr>
          <w:p>
            <w:r>
              <w:t>B_37_last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0.032782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1728"/>
          </w:tcPr>
          <w:p>
            <w:r>
              <w:t>B_4_trend_delta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0.00646</w:t>
            </w:r>
          </w:p>
        </w:tc>
        <w:tc>
          <w:tcPr>
            <w:tcW w:type="dxa" w:w="1728"/>
          </w:tcPr>
          <w:p>
            <w:r>
              <w:t>18</w:t>
            </w:r>
          </w:p>
        </w:tc>
      </w:tr>
      <w:tr>
        <w:tc>
          <w:tcPr>
            <w:tcW w:type="dxa" w:w="1728"/>
          </w:tcPr>
          <w:p>
            <w:r>
              <w:t>D_41_trend_delta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0.000427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1728"/>
          </w:tcPr>
          <w:p>
            <w:r>
              <w:t>B_2_last</w:t>
            </w:r>
          </w:p>
        </w:tc>
        <w:tc>
          <w:tcPr>
            <w:tcW w:type="dxa" w:w="1728"/>
          </w:tcPr>
          <w:p>
            <w:r>
              <w:t>numeric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0.813426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</w:tbl>
    <w:p>
      <w:r>
        <w:t>... and 1784 more row(s) -- see the full CSV for the complete table.</w:t>
      </w:r>
    </w:p>
    <w:p>
      <w:pPr>
        <w:pStyle w:val="Heading1"/>
      </w:pPr>
      <w:r>
        <w:t>4. API Reference</w:t>
      </w:r>
    </w:p>
    <w:p>
      <w:r>
        <w:t>Parsed directly from Notebook 10's real, exported openapi_spec.json.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Path</w:t>
            </w:r>
          </w:p>
        </w:tc>
        <w:tc>
          <w:tcPr>
            <w:tcW w:type="dxa" w:w="1440"/>
          </w:tcPr>
          <w:p>
            <w:r>
              <w:t>Method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  <w:tc>
          <w:tcPr>
            <w:tcW w:type="dxa" w:w="1440"/>
          </w:tcPr>
          <w:p>
            <w:r>
              <w:t>Query Parameters</w:t>
            </w:r>
          </w:p>
        </w:tc>
        <w:tc>
          <w:tcPr>
            <w:tcW w:type="dxa" w:w="1440"/>
          </w:tcPr>
          <w:p>
            <w:r>
              <w:t>Request Body Schema</w:t>
            </w:r>
          </w:p>
        </w:tc>
        <w:tc>
          <w:tcPr>
            <w:tcW w:type="dxa" w:w="1440"/>
          </w:tcPr>
          <w:p>
            <w:r>
              <w:t>Response Status Codes</w:t>
            </w:r>
          </w:p>
        </w:tc>
      </w:tr>
      <w:tr>
        <w:tc>
          <w:tcPr>
            <w:tcW w:type="dxa" w:w="1440"/>
          </w:tcPr>
          <w:p>
            <w:r>
              <w:t>/health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Health</w:t>
            </w:r>
          </w:p>
        </w:tc>
        <w:tc>
          <w:tcPr>
            <w:tcW w:type="dxa" w:w="1440"/>
          </w:tcPr>
          <w:p>
            <w:r>
              <w:t>(none)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>
            <w:r>
              <w:t>/model-info</w:t>
            </w:r>
          </w:p>
        </w:tc>
        <w:tc>
          <w:tcPr>
            <w:tcW w:type="dxa" w:w="1440"/>
          </w:tcPr>
          <w:p>
            <w:r>
              <w:t>GET</w:t>
            </w:r>
          </w:p>
        </w:tc>
        <w:tc>
          <w:tcPr>
            <w:tcW w:type="dxa" w:w="1440"/>
          </w:tcPr>
          <w:p>
            <w:r>
              <w:t>Model Info</w:t>
            </w:r>
          </w:p>
        </w:tc>
        <w:tc>
          <w:tcPr>
            <w:tcW w:type="dxa" w:w="1440"/>
          </w:tcPr>
          <w:p>
            <w:r>
              <w:t>(none)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200</w:t>
            </w:r>
          </w:p>
        </w:tc>
      </w:tr>
      <w:tr>
        <w:tc>
          <w:tcPr>
            <w:tcW w:type="dxa" w:w="1440"/>
          </w:tcPr>
          <w:p>
            <w:r>
              <w:t>/predict</w:t>
            </w:r>
          </w:p>
        </w:tc>
        <w:tc>
          <w:tcPr>
            <w:tcW w:type="dxa" w:w="1440"/>
          </w:tcPr>
          <w:p>
            <w:r>
              <w:t>POST</w:t>
            </w:r>
          </w:p>
        </w:tc>
        <w:tc>
          <w:tcPr>
            <w:tcW w:type="dxa" w:w="1440"/>
          </w:tcPr>
          <w:p>
            <w:r>
              <w:t>Predict</w:t>
            </w:r>
          </w:p>
        </w:tc>
        <w:tc>
          <w:tcPr>
            <w:tcW w:type="dxa" w:w="1440"/>
          </w:tcPr>
          <w:p>
            <w:r>
              <w:t>customer_id</w:t>
            </w:r>
          </w:p>
        </w:tc>
        <w:tc>
          <w:tcPr>
            <w:tcW w:type="dxa" w:w="1440"/>
          </w:tcPr>
          <w:p>
            <w:r>
              <w:t>CustomerFeatures</w:t>
            </w:r>
          </w:p>
        </w:tc>
        <w:tc>
          <w:tcPr>
            <w:tcW w:type="dxa" w:w="1440"/>
          </w:tcPr>
          <w:p>
            <w:r>
              <w:t>200, 422</w:t>
            </w:r>
          </w:p>
        </w:tc>
      </w:tr>
    </w:tbl>
    <w:p>
      <w:pPr>
        <w:pStyle w:val="Heading1"/>
      </w:pPr>
      <w:r>
        <w:t>5. Model 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Model Name</w:t>
            </w:r>
          </w:p>
        </w:tc>
        <w:tc>
          <w:tcPr>
            <w:tcW w:type="dxa" w:w="720"/>
          </w:tcPr>
          <w:p>
            <w:r>
              <w:t>Version</w:t>
            </w:r>
          </w:p>
        </w:tc>
        <w:tc>
          <w:tcPr>
            <w:tcW w:type="dxa" w:w="720"/>
          </w:tcPr>
          <w:p>
            <w:r>
              <w:t>Registered At Utc</w:t>
            </w:r>
          </w:p>
        </w:tc>
        <w:tc>
          <w:tcPr>
            <w:tcW w:type="dxa" w:w="720"/>
          </w:tcPr>
          <w:p>
            <w:r>
              <w:t>Sha256</w:t>
            </w:r>
          </w:p>
        </w:tc>
        <w:tc>
          <w:tcPr>
            <w:tcW w:type="dxa" w:w="720"/>
          </w:tcPr>
          <w:p>
            <w:r>
              <w:t>File Size Mb</w:t>
            </w:r>
          </w:p>
        </w:tc>
        <w:tc>
          <w:tcPr>
            <w:tcW w:type="dxa" w:w="720"/>
          </w:tcPr>
          <w:p>
            <w:r>
              <w:t>Holdout Auc</w:t>
            </w:r>
          </w:p>
        </w:tc>
        <w:tc>
          <w:tcPr>
            <w:tcW w:type="dxa" w:w="720"/>
          </w:tcPr>
          <w:p>
            <w:r>
              <w:t>Holdout Amex Metric</w:t>
            </w:r>
          </w:p>
        </w:tc>
        <w:tc>
          <w:tcPr>
            <w:tcW w:type="dxa" w:w="720"/>
          </w:tcPr>
          <w:p>
            <w:r>
              <w:t>Holdout Top4Pct Capture</w:t>
            </w:r>
          </w:p>
        </w:tc>
        <w:tc>
          <w:tcPr>
            <w:tcW w:type="dxa" w:w="720"/>
          </w:tcPr>
          <w:p>
            <w:r>
              <w:t>Risk Tier</w:t>
            </w:r>
          </w:p>
        </w:tc>
        <w:tc>
          <w:tcPr>
            <w:tcW w:type="dxa" w:w="720"/>
          </w:tcPr>
          <w:p>
            <w:r>
              <w:t>Latency P50 Ms</w:t>
            </w:r>
          </w:p>
        </w:tc>
        <w:tc>
          <w:tcPr>
            <w:tcW w:type="dxa" w:w="720"/>
          </w:tcPr>
          <w:p>
            <w:r>
              <w:t>Latency P99 Ms</w:t>
            </w:r>
          </w:p>
        </w:tc>
        <w:tc>
          <w:tcPr>
            <w:tcW w:type="dxa" w:w="720"/>
          </w:tcPr>
          <w:p>
            <w:r>
              <w:t>Batch Throughput Rows Per Sec</w:t>
            </w:r>
          </w:p>
        </w:tc>
      </w:tr>
      <w:tr>
        <w:tc>
          <w:tcPr>
            <w:tcW w:type="dxa" w:w="720"/>
          </w:tcPr>
          <w:p>
            <w:r>
              <w:t>xgboost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2026-08-23T16:43:28.007715+00:00</w:t>
            </w:r>
          </w:p>
        </w:tc>
        <w:tc>
          <w:tcPr>
            <w:tcW w:type="dxa" w:w="720"/>
          </w:tcPr>
          <w:p>
            <w:r>
              <w:t>253726312ba06eee473b9696896dde66e238b132a3f1aabd4cd5bb9ab04c63e6</w:t>
            </w:r>
          </w:p>
        </w:tc>
        <w:tc>
          <w:tcPr>
            <w:tcW w:type="dxa" w:w="720"/>
          </w:tcPr>
          <w:p>
            <w:r>
              <w:t>1.891</w:t>
            </w:r>
          </w:p>
        </w:tc>
        <w:tc>
          <w:tcPr>
            <w:tcW w:type="dxa" w:w="720"/>
          </w:tcPr>
          <w:p>
            <w:r>
              <w:t>0.9620396555226549</w:t>
            </w:r>
          </w:p>
        </w:tc>
        <w:tc>
          <w:tcPr>
            <w:tcW w:type="dxa" w:w="720"/>
          </w:tcPr>
          <w:p>
            <w:r>
              <w:t>0.7935631597243085</w:t>
            </w:r>
          </w:p>
        </w:tc>
        <w:tc>
          <w:tcPr>
            <w:tcW w:type="dxa" w:w="720"/>
          </w:tcPr>
          <w:p>
            <w:r>
              <w:t>0.6630480518387613</w:t>
            </w:r>
          </w:p>
        </w:tc>
        <w:tc>
          <w:tcPr>
            <w:tcW w:type="dxa" w:w="720"/>
          </w:tcPr>
          <w:p>
            <w:r>
              <w:t>Tier 2 (Medium)</w:t>
            </w:r>
          </w:p>
        </w:tc>
        <w:tc>
          <w:tcPr>
            <w:tcW w:type="dxa" w:w="720"/>
          </w:tcPr>
          <w:p>
            <w:r>
              <w:t>0.4918</w:t>
            </w:r>
          </w:p>
        </w:tc>
        <w:tc>
          <w:tcPr>
            <w:tcW w:type="dxa" w:w="720"/>
          </w:tcPr>
          <w:p>
            <w:r>
              <w:t>11.5809</w:t>
            </w:r>
          </w:p>
        </w:tc>
        <w:tc>
          <w:tcPr>
            <w:tcW w:type="dxa" w:w="720"/>
          </w:tcPr>
          <w:p>
            <w:r>
              <w:t>345611.7</w:t>
            </w:r>
          </w:p>
        </w:tc>
      </w:tr>
    </w:tbl>
    <w:p>
      <w:pPr>
        <w:pStyle w:val="Heading1"/>
      </w:pPr>
      <w:r>
        <w:t>6.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PD</w:t>
            </w:r>
          </w:p>
        </w:tc>
        <w:tc>
          <w:tcPr>
            <w:tcW w:type="dxa" w:w="4320"/>
          </w:tcPr>
          <w:p>
            <w:r>
              <w:t>Probability of Default -- the model's core output: the estimated likelihood a customer defaults within the prediction horizon.</w:t>
            </w:r>
          </w:p>
        </w:tc>
      </w:tr>
      <w:tr>
        <w:tc>
          <w:tcPr>
            <w:tcW w:type="dxa" w:w="4320"/>
          </w:tcPr>
          <w:p>
            <w:r>
              <w:t>LGD</w:t>
            </w:r>
          </w:p>
        </w:tc>
        <w:tc>
          <w:tcPr>
            <w:tcW w:type="dxa" w:w="4320"/>
          </w:tcPr>
          <w:p>
            <w:r>
              <w:t>Loss Given Default -- the fraction of exposure a lender expects to lose if a customer defaults, net of recoveries.</w:t>
            </w:r>
          </w:p>
        </w:tc>
      </w:tr>
      <w:tr>
        <w:tc>
          <w:tcPr>
            <w:tcW w:type="dxa" w:w="4320"/>
          </w:tcPr>
          <w:p>
            <w:r>
              <w:t>EAD</w:t>
            </w:r>
          </w:p>
        </w:tc>
        <w:tc>
          <w:tcPr>
            <w:tcW w:type="dxa" w:w="4320"/>
          </w:tcPr>
          <w:p>
            <w:r>
              <w:t>Exposure at Default -- the expected outstanding balance at the moment of default.</w:t>
            </w:r>
          </w:p>
        </w:tc>
      </w:tr>
      <w:tr>
        <w:tc>
          <w:tcPr>
            <w:tcW w:type="dxa" w:w="4320"/>
          </w:tcPr>
          <w:p>
            <w:r>
              <w:t>ECL</w:t>
            </w:r>
          </w:p>
        </w:tc>
        <w:tc>
          <w:tcPr>
            <w:tcW w:type="dxa" w:w="4320"/>
          </w:tcPr>
          <w:p>
            <w:r>
              <w:t>Expected Credit Loss -- IFRS 9's core loss-provisioning quantity, computed as PD x LGD x EAD (Stage 1) or over a lifetime horizon (Stage 2/3).</w:t>
            </w:r>
          </w:p>
        </w:tc>
      </w:tr>
      <w:tr>
        <w:tc>
          <w:tcPr>
            <w:tcW w:type="dxa" w:w="4320"/>
          </w:tcPr>
          <w:p>
            <w:r>
              <w:t>RWA</w:t>
            </w:r>
          </w:p>
        </w:tc>
        <w:tc>
          <w:tcPr>
            <w:tcW w:type="dxa" w:w="4320"/>
          </w:tcPr>
          <w:p>
            <w:r>
              <w:t>Risk-Weighted Assets -- a Basel capital-adequacy quantity; regulatory capital held is a fraction of RWA, not of raw exposure.</w:t>
            </w:r>
          </w:p>
        </w:tc>
      </w:tr>
      <w:tr>
        <w:tc>
          <w:tcPr>
            <w:tcW w:type="dxa" w:w="4320"/>
          </w:tcPr>
          <w:p>
            <w:r>
              <w:t>PSI</w:t>
            </w:r>
          </w:p>
        </w:tc>
        <w:tc>
          <w:tcPr>
            <w:tcW w:type="dxa" w:w="4320"/>
          </w:tcPr>
          <w:p>
            <w:r>
              <w:t>Population Stability Index -- a standard drift metric comparing a feature's (or score's) distribution between two populations, e.g. training vs. a newer population.</w:t>
            </w:r>
          </w:p>
        </w:tc>
      </w:tr>
      <w:tr>
        <w:tc>
          <w:tcPr>
            <w:tcW w:type="dxa" w:w="4320"/>
          </w:tcPr>
          <w:p>
            <w:r>
              <w:t>IFRS 9</w:t>
            </w:r>
          </w:p>
        </w:tc>
        <w:tc>
          <w:tcPr>
            <w:tcW w:type="dxa" w:w="4320"/>
          </w:tcPr>
          <w:p>
            <w:r>
              <w:t>International Financial Reporting Standard 9 -- governs expected-credit-loss provisioning and staging (Stage 1/2/3) for financial instruments.</w:t>
            </w:r>
          </w:p>
        </w:tc>
      </w:tr>
      <w:tr>
        <w:tc>
          <w:tcPr>
            <w:tcW w:type="dxa" w:w="4320"/>
          </w:tcPr>
          <w:p>
            <w:r>
              <w:t>Basel III</w:t>
            </w:r>
          </w:p>
        </w:tc>
        <w:tc>
          <w:tcPr>
            <w:tcW w:type="dxa" w:w="4320"/>
          </w:tcPr>
          <w:p>
            <w:r>
              <w:t>The international regulatory capital framework (Basel Committee on Banking Supervision) setting minimum capital ratios and risk-weighting methodology for banks.</w:t>
            </w:r>
          </w:p>
        </w:tc>
      </w:tr>
      <w:tr>
        <w:tc>
          <w:tcPr>
            <w:tcW w:type="dxa" w:w="4320"/>
          </w:tcPr>
          <w:p>
            <w:r>
              <w:t>QRRE</w:t>
            </w:r>
          </w:p>
        </w:tc>
        <w:tc>
          <w:tcPr>
            <w:tcW w:type="dxa" w:w="4320"/>
          </w:tcPr>
          <w:p>
            <w:r>
              <w:t>Qualifying Revolving Retail Exposure -- the Basel exposure class credit-card-style revolving credit falls under, with its own IRB capital formula and fixed correlation parameter.</w:t>
            </w:r>
          </w:p>
        </w:tc>
      </w:tr>
      <w:tr>
        <w:tc>
          <w:tcPr>
            <w:tcW w:type="dxa" w:w="4320"/>
          </w:tcPr>
          <w:p>
            <w:r>
              <w:t>AMEX competition metric</w:t>
            </w:r>
          </w:p>
        </w:tc>
        <w:tc>
          <w:tcPr>
            <w:tcW w:type="dxa" w:w="4320"/>
          </w:tcPr>
          <w:p>
            <w:r>
              <w:t>The custom evaluation metric used by the Kaggle American Express Default Prediction competition -- a blend of Normalized Gini coefficient and the default-capture rate in the top 4% of predicted risk.</w:t>
            </w:r>
          </w:p>
        </w:tc>
      </w:tr>
      <w:tr>
        <w:tc>
          <w:tcPr>
            <w:tcW w:type="dxa" w:w="4320"/>
          </w:tcPr>
          <w:p>
            <w:r>
              <w:t>SHAP</w:t>
            </w:r>
          </w:p>
        </w:tc>
        <w:tc>
          <w:tcPr>
            <w:tcW w:type="dxa" w:w="4320"/>
          </w:tcPr>
          <w:p>
            <w:r>
              <w:t>SHapley Additive exPlanations -- a game-theoretic method for attributing a model's prediction to its input features.</w:t>
            </w:r>
          </w:p>
        </w:tc>
      </w:tr>
      <w:tr>
        <w:tc>
          <w:tcPr>
            <w:tcW w:type="dxa" w:w="4320"/>
          </w:tcPr>
          <w:p>
            <w:r>
              <w:t>LIME</w:t>
            </w:r>
          </w:p>
        </w:tc>
        <w:tc>
          <w:tcPr>
            <w:tcW w:type="dxa" w:w="4320"/>
          </w:tcPr>
          <w:p>
            <w:r>
              <w:t>Local Interpretable Model-agnostic Explanations -- explains individual predictions by fitting a simple, local surrogate model around them.</w:t>
            </w:r>
          </w:p>
        </w:tc>
      </w:tr>
      <w:tr>
        <w:tc>
          <w:tcPr>
            <w:tcW w:type="dxa" w:w="4320"/>
          </w:tcPr>
          <w:p>
            <w:r>
              <w:t>WARP</w:t>
            </w:r>
          </w:p>
        </w:tc>
        <w:tc>
          <w:tcPr>
            <w:tcW w:type="dxa" w:w="4320"/>
          </w:tcPr>
          <w:p>
            <w:r>
              <w:t>This platform's own performance convention: configuring library thread pools (e.g. Polars) to a fixed percentage of detected logical CPU cores, set once and reused across notebooks.</w:t>
            </w:r>
          </w:p>
        </w:tc>
      </w:tr>
      <w:tr>
        <w:tc>
          <w:tcPr>
            <w:tcW w:type="dxa" w:w="4320"/>
          </w:tcPr>
          <w:p>
            <w:r>
              <w:t>CRISP-DM</w:t>
            </w:r>
          </w:p>
        </w:tc>
        <w:tc>
          <w:tcPr>
            <w:tcW w:type="dxa" w:w="4320"/>
          </w:tcPr>
          <w:p>
            <w:r>
              <w:t>Cross-Industry Standard Process for Data Mining -- the six-stage process framework (Business Understanding through Deployment) this platform's notebooks are organized around.</w:t>
            </w:r>
          </w:p>
        </w:tc>
      </w:tr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The best-performing model from Notebook 05's comparison, by holdout AMEX metric -- the model every downstream notebook reuses as-is.</w:t>
            </w:r>
          </w:p>
        </w:tc>
      </w:tr>
      <w:tr>
        <w:tc>
          <w:tcPr>
            <w:tcW w:type="dxa" w:w="4320"/>
          </w:tcPr>
          <w:p>
            <w:r>
              <w:t>Holdout / test split</w:t>
            </w:r>
          </w:p>
        </w:tc>
        <w:tc>
          <w:tcPr>
            <w:tcW w:type="dxa" w:w="4320"/>
          </w:tcPr>
          <w:p>
            <w:r>
              <w:t>The portion of data held out from training and never used to fit the model or its preprocessing -- the only data every validation and monitoring check in this platform trusts.</w:t>
            </w:r>
          </w:p>
        </w:tc>
      </w:tr>
      <w:tr>
        <w:tc>
          <w:tcPr>
            <w:tcW w:type="dxa" w:w="4320"/>
          </w:tcPr>
          <w:p>
            <w:r>
              <w:t>Star schema</w:t>
            </w:r>
          </w:p>
        </w:tc>
        <w:tc>
          <w:tcPr>
            <w:tcW w:type="dxa" w:w="4320"/>
          </w:tcPr>
          <w:p>
            <w:r>
              <w:t>A BI data-modeling pattern: one central fact table (the granular, measurable events) surrounded by dimension tables (the descriptive context to slice and filter by).</w:t>
            </w:r>
          </w:p>
        </w:tc>
      </w:tr>
      <w:tr>
        <w:tc>
          <w:tcPr>
            <w:tcW w:type="dxa" w:w="4320"/>
          </w:tcPr>
          <w:p>
            <w:r>
              <w:t>DAX</w:t>
            </w:r>
          </w:p>
        </w:tc>
        <w:tc>
          <w:tcPr>
            <w:tcW w:type="dxa" w:w="4320"/>
          </w:tcPr>
          <w:p>
            <w:r>
              <w:t>Data Analysis Expressions -- the formula language Power BI (and Excel Power Pivot) uses to define measures and calculated columns.</w:t>
            </w:r>
          </w:p>
        </w:tc>
      </w:tr>
    </w:tbl>
    <w:p>
      <w:pPr>
        <w:pStyle w:val="Heading1"/>
      </w:pPr>
      <w:r>
        <w:t>7. Setup &amp; Run-Order Guide</w:t>
      </w:r>
    </w:p>
    <w:p>
      <w:pPr>
        <w:pStyle w:val="ListNumber"/>
      </w:pPr>
      <w:r>
        <w:t>Install Python 3.11 and Conda (or venv) on a Windows machine with the raw Kaggle American Express Default Prediction CSVs already downloaded.</w:t>
      </w:r>
    </w:p>
    <w:p>
      <w:pPr>
        <w:pStyle w:val="ListNumber"/>
      </w:pPr>
      <w:r>
        <w:t>Create and activate a fresh environment, then install dependencies: polars, numpy, pandas, scikit-learn, xgboost, lightgbm, catboost, shap, lime, matplotlib, psutil, joblib, python-docx, scipy, openpyxl, fastapi, uvicorn, pydantic, pyyaml (Notebook 09 exports the exact installed versions to requirements.txt once it has run).</w:t>
      </w:r>
    </w:p>
    <w:p>
      <w:pPr>
        <w:pStyle w:val="ListNumber"/>
      </w:pPr>
      <w:r>
        <w:t>Open 01_business_understanding.ipynb first, set DATA_ROOT to your local Kaggle CSV folder, and run its single code cell -- this creates project_config.json and every pillar directory every later notebook depends on.</w:t>
      </w:r>
    </w:p>
    <w:p>
      <w:pPr>
        <w:pStyle w:val="ListNumber"/>
      </w:pPr>
      <w:r>
        <w:t>Run the remaining notebooks in numeric order (02 through 18) -- each notebook's own intro cell states exactly which prior notebooks it depends on and which of those are optional.</w:t>
      </w:r>
    </w:p>
    <w:p>
      <w:pPr>
        <w:pStyle w:val="ListNumber"/>
      </w:pPr>
      <w:r>
        <w:t>Each notebook is a single, idempotent code cell: re-running it overwrites its own outputs in place (Notebook 09's model registry is the sole deliberate exception -- see its intro).</w:t>
      </w:r>
    </w:p>
    <w:p>
      <w:pPr>
        <w:pStyle w:val="Heading1"/>
      </w:pPr>
      <w:r>
        <w:t>8. Technical Documentation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Data Dictionary Generated (Real, From Notebook 05)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1804 features documented</w:t>
            </w:r>
          </w:p>
        </w:tc>
      </w:tr>
      <w:tr>
        <w:tc>
          <w:tcPr>
            <w:tcW w:type="dxa" w:w="2880"/>
          </w:tcPr>
          <w:p>
            <w:r>
              <w:t>Platform Artifact Inventory (Live Filesystem Scan)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132 real files across 16 pillars</w:t>
            </w:r>
          </w:p>
        </w:tc>
      </w:tr>
      <w:tr>
        <w:tc>
          <w:tcPr>
            <w:tcW w:type="dxa" w:w="2880"/>
          </w:tcPr>
          <w:p>
            <w:r>
              <w:t>Architecture Diagram &amp; Dependency Map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 notebooks mapped, 14 have run</w:t>
            </w:r>
          </w:p>
        </w:tc>
      </w:tr>
      <w:tr>
        <w:tc>
          <w:tcPr>
            <w:tcW w:type="dxa" w:w="2880"/>
          </w:tcPr>
          <w:p>
            <w:r>
              <w:t>API Reference (Real, From Notebook 10)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3 endpoint(s) documented</w:t>
            </w:r>
          </w:p>
        </w:tc>
      </w:tr>
      <w:tr>
        <w:tc>
          <w:tcPr>
            <w:tcW w:type="dxa" w:w="2880"/>
          </w:tcPr>
          <w:p>
            <w:r>
              <w:t>Model Documentation (Real, From Notebook 09)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 model version(s) documented</w:t>
            </w:r>
          </w:p>
        </w:tc>
      </w:tr>
      <w:tr>
        <w:tc>
          <w:tcPr>
            <w:tcW w:type="dxa" w:w="2880"/>
          </w:tcPr>
          <w:p>
            <w:r>
              <w:t>Glossary of Terms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18 terms defined</w:t>
            </w:r>
          </w:p>
        </w:tc>
      </w:tr>
      <w:tr>
        <w:tc>
          <w:tcPr>
            <w:tcW w:type="dxa" w:w="2880"/>
          </w:tcPr>
          <w:p>
            <w:r>
              <w:t>Setup &amp; Run-Order Guide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5 steps documented</w:t>
            </w:r>
          </w:p>
        </w:tc>
      </w:tr>
      <w:tr>
        <w:tc>
          <w:tcPr>
            <w:tcW w:type="dxa" w:w="2880"/>
          </w:tcPr>
          <w:p>
            <w:r>
              <w:t>README.md Generated at Project Root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README.md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