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Model Development Report</w:t>
      </w:r>
    </w:p>
    <w:p>
      <w:r>
        <w:t>Generated: 2026-08-24 10:56</w:t>
      </w:r>
    </w:p>
    <w:p>
      <w:pPr>
        <w:pStyle w:val="Heading1"/>
      </w:pPr>
      <w:r>
        <w:t>1. Methodology</w:t>
      </w:r>
    </w:p>
    <w:p>
      <w:r>
        <w:t>Problem 1's real champion model (xgboost, holdout AUC 0.9620396555226549, holdout AMEX metric 0.7935631597243085) scores the real, held-out test split (91,783 customers, never trained on -- the same split Notebook 05 and Notebook 13 use). Two tier-bucketing methods, both defined in Notebook 19's policy, are computed against these real PD scores and compared.</w:t>
      </w:r>
    </w:p>
    <w:p>
      <w:pPr>
        <w:pStyle w:val="Heading1"/>
      </w:pPr>
      <w:r>
        <w:t>2. Per-Tier Performance -- Both Methods (Real, Measured)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Risk Tier</w:t>
            </w:r>
          </w:p>
        </w:tc>
        <w:tc>
          <w:tcPr>
            <w:tcW w:type="dxa" w:w="1234"/>
          </w:tcPr>
          <w:p>
            <w:r>
              <w:t>N Accounts</w:t>
            </w:r>
          </w:p>
        </w:tc>
        <w:tc>
          <w:tcPr>
            <w:tcW w:type="dxa" w:w="1234"/>
          </w:tcPr>
          <w:p>
            <w:r>
              <w:t>Population Pct</w:t>
            </w:r>
          </w:p>
        </w:tc>
        <w:tc>
          <w:tcPr>
            <w:tcW w:type="dxa" w:w="1234"/>
          </w:tcPr>
          <w:p>
            <w:r>
              <w:t>Actual Bad Rate Pct</w:t>
            </w:r>
          </w:p>
        </w:tc>
        <w:tc>
          <w:tcPr>
            <w:tcW w:type="dxa" w:w="1234"/>
          </w:tcPr>
          <w:p>
            <w:r>
              <w:t>Mean Predicted Pd</w:t>
            </w:r>
          </w:p>
        </w:tc>
        <w:tc>
          <w:tcPr>
            <w:tcW w:type="dxa" w:w="1234"/>
          </w:tcPr>
          <w:p>
            <w:r>
              <w:t>Calibration Gap</w:t>
            </w:r>
          </w:p>
        </w:tc>
      </w:tr>
      <w:tr>
        <w:tc>
          <w:tcPr>
            <w:tcW w:type="dxa" w:w="1234"/>
          </w:tcPr>
          <w:p>
            <w:r>
              <w:t>business_rule</w:t>
            </w:r>
          </w:p>
        </w:tc>
        <w:tc>
          <w:tcPr>
            <w:tcW w:type="dxa" w:w="1234"/>
          </w:tcPr>
          <w:p>
            <w:r>
              <w:t>Prime</w:t>
            </w:r>
          </w:p>
        </w:tc>
        <w:tc>
          <w:tcPr>
            <w:tcW w:type="dxa" w:w="1234"/>
          </w:tcPr>
          <w:p>
            <w:r>
              <w:t>50264</w:t>
            </w:r>
          </w:p>
        </w:tc>
        <w:tc>
          <w:tcPr>
            <w:tcW w:type="dxa" w:w="1234"/>
          </w:tcPr>
          <w:p>
            <w:r>
              <w:t>54.76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0.0084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</w:tr>
      <w:tr>
        <w:tc>
          <w:tcPr>
            <w:tcW w:type="dxa" w:w="1234"/>
          </w:tcPr>
          <w:p>
            <w:r>
              <w:t>business_rule</w:t>
            </w:r>
          </w:p>
        </w:tc>
        <w:tc>
          <w:tcPr>
            <w:tcW w:type="dxa" w:w="1234"/>
          </w:tcPr>
          <w:p>
            <w:r>
              <w:t>Near-Prime</w:t>
            </w:r>
          </w:p>
        </w:tc>
        <w:tc>
          <w:tcPr>
            <w:tcW w:type="dxa" w:w="1234"/>
          </w:tcPr>
          <w:p>
            <w:r>
              <w:t>7013</w:t>
            </w:r>
          </w:p>
        </w:tc>
        <w:tc>
          <w:tcPr>
            <w:tcW w:type="dxa" w:w="1234"/>
          </w:tcPr>
          <w:p>
            <w:r>
              <w:t>7.64</w:t>
            </w:r>
          </w:p>
        </w:tc>
        <w:tc>
          <w:tcPr>
            <w:tcW w:type="dxa" w:w="1234"/>
          </w:tcPr>
          <w:p>
            <w:r>
              <w:t>9.454</w:t>
            </w:r>
          </w:p>
        </w:tc>
        <w:tc>
          <w:tcPr>
            <w:tcW w:type="dxa" w:w="1234"/>
          </w:tcPr>
          <w:p>
            <w:r>
              <w:t>0.0913</w:t>
            </w:r>
          </w:p>
        </w:tc>
        <w:tc>
          <w:tcPr>
            <w:tcW w:type="dxa" w:w="1234"/>
          </w:tcPr>
          <w:p>
            <w:r>
              <w:t>-0.0032</w:t>
            </w:r>
          </w:p>
        </w:tc>
      </w:tr>
      <w:tr>
        <w:tc>
          <w:tcPr>
            <w:tcW w:type="dxa" w:w="1234"/>
          </w:tcPr>
          <w:p>
            <w:r>
              <w:t>business_rule</w:t>
            </w:r>
          </w:p>
        </w:tc>
        <w:tc>
          <w:tcPr>
            <w:tcW w:type="dxa" w:w="1234"/>
          </w:tcPr>
          <w:p>
            <w:r>
              <w:t>Subprime</w:t>
            </w:r>
          </w:p>
        </w:tc>
        <w:tc>
          <w:tcPr>
            <w:tcW w:type="dxa" w:w="1234"/>
          </w:tcPr>
          <w:p>
            <w:r>
              <w:t>6694</w:t>
            </w:r>
          </w:p>
        </w:tc>
        <w:tc>
          <w:tcPr>
            <w:tcW w:type="dxa" w:w="1234"/>
          </w:tcPr>
          <w:p>
            <w:r>
              <w:t>7.29</w:t>
            </w:r>
          </w:p>
        </w:tc>
        <w:tc>
          <w:tcPr>
            <w:tcW w:type="dxa" w:w="1234"/>
          </w:tcPr>
          <w:p>
            <w:r>
              <w:t>24.813</w:t>
            </w:r>
          </w:p>
        </w:tc>
        <w:tc>
          <w:tcPr>
            <w:tcW w:type="dxa" w:w="1234"/>
          </w:tcPr>
          <w:p>
            <w:r>
              <w:t>0.2427</w:t>
            </w:r>
          </w:p>
        </w:tc>
        <w:tc>
          <w:tcPr>
            <w:tcW w:type="dxa" w:w="1234"/>
          </w:tcPr>
          <w:p>
            <w:r>
              <w:t>-0.0054</w:t>
            </w:r>
          </w:p>
        </w:tc>
      </w:tr>
      <w:tr>
        <w:tc>
          <w:tcPr>
            <w:tcW w:type="dxa" w:w="1234"/>
          </w:tcPr>
          <w:p>
            <w:r>
              <w:t>business_rule</w:t>
            </w:r>
          </w:p>
        </w:tc>
        <w:tc>
          <w:tcPr>
            <w:tcW w:type="dxa" w:w="1234"/>
          </w:tcPr>
          <w:p>
            <w:r>
              <w:t>High Risk</w:t>
            </w:r>
          </w:p>
        </w:tc>
        <w:tc>
          <w:tcPr>
            <w:tcW w:type="dxa" w:w="1234"/>
          </w:tcPr>
          <w:p>
            <w:r>
              <w:t>27812</w:t>
            </w:r>
          </w:p>
        </w:tc>
        <w:tc>
          <w:tcPr>
            <w:tcW w:type="dxa" w:w="1234"/>
          </w:tcPr>
          <w:p>
            <w:r>
              <w:t>30.3</w:t>
            </w:r>
          </w:p>
        </w:tc>
        <w:tc>
          <w:tcPr>
            <w:tcW w:type="dxa" w:w="1234"/>
          </w:tcPr>
          <w:p>
            <w:r>
              <w:t>75.723</w:t>
            </w:r>
          </w:p>
        </w:tc>
        <w:tc>
          <w:tcPr>
            <w:tcW w:type="dxa" w:w="1234"/>
          </w:tcPr>
          <w:p>
            <w:r>
              <w:t>0.7563</w:t>
            </w:r>
          </w:p>
        </w:tc>
        <w:tc>
          <w:tcPr>
            <w:tcW w:type="dxa" w:w="1234"/>
          </w:tcPr>
          <w:p>
            <w:r>
              <w:t>-0.0009</w:t>
            </w:r>
          </w:p>
        </w:tc>
      </w:tr>
      <w:tr>
        <w:tc>
          <w:tcPr>
            <w:tcW w:type="dxa" w:w="1234"/>
          </w:tcPr>
          <w:p>
            <w:r>
              <w:t>quantile</w:t>
            </w:r>
          </w:p>
        </w:tc>
        <w:tc>
          <w:tcPr>
            <w:tcW w:type="dxa" w:w="1234"/>
          </w:tcPr>
          <w:p>
            <w:r>
              <w:t>Prime</w:t>
            </w:r>
          </w:p>
        </w:tc>
        <w:tc>
          <w:tcPr>
            <w:tcW w:type="dxa" w:w="1234"/>
          </w:tcPr>
          <w:p>
            <w:r>
              <w:t>22946</w:t>
            </w:r>
          </w:p>
        </w:tc>
        <w:tc>
          <w:tcPr>
            <w:tcW w:type="dxa" w:w="1234"/>
          </w:tcPr>
          <w:p>
            <w:r>
              <w:t>25.0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0.0016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quantile</w:t>
            </w:r>
          </w:p>
        </w:tc>
        <w:tc>
          <w:tcPr>
            <w:tcW w:type="dxa" w:w="1234"/>
          </w:tcPr>
          <w:p>
            <w:r>
              <w:t>Near-Prime</w:t>
            </w:r>
          </w:p>
        </w:tc>
        <w:tc>
          <w:tcPr>
            <w:tcW w:type="dxa" w:w="1234"/>
          </w:tcPr>
          <w:p>
            <w:r>
              <w:t>22945</w:t>
            </w:r>
          </w:p>
        </w:tc>
        <w:tc>
          <w:tcPr>
            <w:tcW w:type="dxa" w:w="1234"/>
          </w:tcPr>
          <w:p>
            <w:r>
              <w:t>25.0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  <w:tc>
          <w:tcPr>
            <w:tcW w:type="dxa" w:w="1234"/>
          </w:tcPr>
          <w:p>
            <w:r>
              <w:t>0.0097</w:t>
            </w:r>
          </w:p>
        </w:tc>
        <w:tc>
          <w:tcPr>
            <w:tcW w:type="dxa" w:w="1234"/>
          </w:tcPr>
          <w:p>
            <w:r>
              <w:t>0.0018</w:t>
            </w:r>
          </w:p>
        </w:tc>
      </w:tr>
      <w:tr>
        <w:tc>
          <w:tcPr>
            <w:tcW w:type="dxa" w:w="1234"/>
          </w:tcPr>
          <w:p>
            <w:r>
              <w:t>quantile</w:t>
            </w:r>
          </w:p>
        </w:tc>
        <w:tc>
          <w:tcPr>
            <w:tcW w:type="dxa" w:w="1234"/>
          </w:tcPr>
          <w:p>
            <w:r>
              <w:t>Subprime</w:t>
            </w:r>
          </w:p>
        </w:tc>
        <w:tc>
          <w:tcPr>
            <w:tcW w:type="dxa" w:w="1234"/>
          </w:tcPr>
          <w:p>
            <w:r>
              <w:t>22946</w:t>
            </w:r>
          </w:p>
        </w:tc>
        <w:tc>
          <w:tcPr>
            <w:tcW w:type="dxa" w:w="1234"/>
          </w:tcPr>
          <w:p>
            <w:r>
              <w:t>25.0</w:t>
            </w:r>
          </w:p>
        </w:tc>
        <w:tc>
          <w:tcPr>
            <w:tcW w:type="dxa" w:w="1234"/>
          </w:tcPr>
          <w:p>
            <w:r>
              <w:t>20.165</w:t>
            </w:r>
          </w:p>
        </w:tc>
        <w:tc>
          <w:tcPr>
            <w:tcW w:type="dxa" w:w="1234"/>
          </w:tcPr>
          <w:p>
            <w:r>
              <w:t>0.1987</w:t>
            </w:r>
          </w:p>
        </w:tc>
        <w:tc>
          <w:tcPr>
            <w:tcW w:type="dxa" w:w="1234"/>
          </w:tcPr>
          <w:p>
            <w:r>
              <w:t>-0.0029</w:t>
            </w:r>
          </w:p>
        </w:tc>
      </w:tr>
      <w:tr>
        <w:tc>
          <w:tcPr>
            <w:tcW w:type="dxa" w:w="1234"/>
          </w:tcPr>
          <w:p>
            <w:r>
              <w:t>quantile</w:t>
            </w:r>
          </w:p>
        </w:tc>
        <w:tc>
          <w:tcPr>
            <w:tcW w:type="dxa" w:w="1234"/>
          </w:tcPr>
          <w:p>
            <w:r>
              <w:t>High Risk</w:t>
            </w:r>
          </w:p>
        </w:tc>
        <w:tc>
          <w:tcPr>
            <w:tcW w:type="dxa" w:w="1234"/>
          </w:tcPr>
          <w:p>
            <w:r>
              <w:t>22946</w:t>
            </w:r>
          </w:p>
        </w:tc>
        <w:tc>
          <w:tcPr>
            <w:tcW w:type="dxa" w:w="1234"/>
          </w:tcPr>
          <w:p>
            <w:r>
              <w:t>25.0</w:t>
            </w:r>
          </w:p>
        </w:tc>
        <w:tc>
          <w:tcPr>
            <w:tcW w:type="dxa" w:w="1234"/>
          </w:tcPr>
          <w:p>
            <w:r>
              <w:t>82.555</w:t>
            </w:r>
          </w:p>
        </w:tc>
        <w:tc>
          <w:tcPr>
            <w:tcW w:type="dxa" w:w="1234"/>
          </w:tcPr>
          <w:p>
            <w:r>
              <w:t>0.8238</w:t>
            </w:r>
          </w:p>
        </w:tc>
        <w:tc>
          <w:tcPr>
            <w:tcW w:type="dxa" w:w="1234"/>
          </w:tcPr>
          <w:p>
            <w:r>
              <w:t>-0.0018</w:t>
            </w:r>
          </w:p>
        </w:tc>
      </w:tr>
    </w:tbl>
    <w:p>
      <w:pPr>
        <w:pStyle w:val="Heading1"/>
      </w:pPr>
      <w:r>
        <w:t>3. KPI Compliance -- Honest Pass/Fail</w:t>
      </w:r>
    </w:p>
    <w:p>
      <w:r>
        <w:t>A KPI target not met below is a real, measured outcome on this holdout population -- reported as-is, never adjusted to appear compliant.</w:t>
      </w:r>
    </w:p>
    <w:p>
      <w:pPr>
        <w:pStyle w:val="Heading2"/>
      </w:pPr>
      <w:r>
        <w:t>Business-Rule Method</w:t>
      </w:r>
    </w:p>
    <w:p>
      <w:r>
        <w:t>Monotonicity Pass: True  [PASS]</w:t>
      </w:r>
    </w:p>
    <w:p>
      <w:r>
        <w:t>Monotonicity Measured: True  [PASS]</w:t>
      </w:r>
    </w:p>
    <w:p>
      <w:r>
        <w:t>Bad Rate Ratio Top To Bottom: 99.64</w:t>
      </w:r>
    </w:p>
    <w:p>
      <w:r>
        <w:t>Bad Rate Ratio Target: 3.0</w:t>
      </w:r>
    </w:p>
    <w:p>
      <w:r>
        <w:t>Bad Rate Ratio Pass: True  [PASS]</w:t>
      </w:r>
    </w:p>
    <w:p>
      <w:r>
        <w:t>Min Tier Population Pct Measured: 7.29</w:t>
      </w:r>
    </w:p>
    <w:p>
      <w:r>
        <w:t>Min Tier Population Pct Target: 5.0</w:t>
      </w:r>
    </w:p>
    <w:p>
      <w:r>
        <w:t>Population Balance Pass: True  [PASS]</w:t>
      </w:r>
    </w:p>
    <w:p>
      <w:pPr>
        <w:pStyle w:val="Heading2"/>
      </w:pPr>
      <w:r>
        <w:t>Quantile Method</w:t>
      </w:r>
    </w:p>
    <w:p>
      <w:r>
        <w:t>Monotonicity Pass: True  [PASS]</w:t>
      </w:r>
    </w:p>
    <w:p>
      <w:r>
        <w:t>Monotonicity Measured: True  [PASS]</w:t>
      </w:r>
    </w:p>
    <w:p>
      <w:r>
        <w:t>Bad Rate Ratio Top To Bottom: 1353.36</w:t>
      </w:r>
    </w:p>
    <w:p>
      <w:r>
        <w:t>Bad Rate Ratio Target: 3.0</w:t>
      </w:r>
    </w:p>
    <w:p>
      <w:r>
        <w:t>Bad Rate Ratio Pass: True  [PASS]</w:t>
      </w:r>
    </w:p>
    <w:p>
      <w:r>
        <w:t>Min Tier Population Pct Measured: 25.0</w:t>
      </w:r>
    </w:p>
    <w:p>
      <w:r>
        <w:t>Min Tier Population Pct Target: 5.0</w:t>
      </w:r>
    </w:p>
    <w:p>
      <w:r>
        <w:t>Population Balance Pass: True  [PASS]</w:t>
      </w:r>
    </w:p>
    <w:p>
      <w:pPr>
        <w:pStyle w:val="Heading1"/>
      </w:pPr>
      <w:r>
        <w:t>4. Population Stability (Split-Half PSI, Primary Method)</w:t>
      </w:r>
    </w:p>
    <w:p>
      <w:r>
        <w:t>PSI = 0.0002 (target &lt;= 0.1) -- PASS. Honest scope note: this is a random split-half stability proxy on the single available holdout population, not a genuine time-based drift measurement (Notebook 23 covers simulated temporal monitoring windows, reusing Notebook 12's real pattern).</w:t>
      </w:r>
    </w:p>
    <w:p>
      <w:pPr>
        <w:pStyle w:val="Heading1"/>
      </w:pPr>
      <w:r>
        <w:t>5. Statistical Significance</w:t>
      </w:r>
    </w:p>
    <w:p>
      <w:r>
        <w:t>Chi-square test of risk tier vs. actual default: statistic=53526.07, dof=3, p-value=0.000e+00 -- statistically significant (p &lt; 0.001).</w:t>
      </w:r>
    </w:p>
    <w:p>
      <w:pPr>
        <w:pStyle w:val="Heading1"/>
      </w:pPr>
      <w:r>
        <w:t>6. Selected Primary Method</w:t>
      </w:r>
    </w:p>
    <w:p>
      <w:r>
        <w:t>Per Notebook 19's policy, 'business_rule' is the primary method used downstream (Notebooks 21-25). Both methods' assignments are retained in risk_tier_assignments.csv for transparency and comparison.</w:t>
      </w:r>
    </w:p>
    <w:p>
      <w:pPr>
        <w:pStyle w:val="Heading1"/>
      </w:pPr>
      <w:r>
        <w:t>7. Charts</w:t>
      </w: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_rate_by_tier_both_method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Actual bad rate by tier</w:t>
      </w: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lation_by_tier_both_method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Population distribution by tier</w:t>
      </w: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distribution_by_tie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Predicted PD distribution by tier</w:t>
      </w:r>
    </w:p>
    <w:p>
      <w:r>
        <w:drawing>
          <wp:inline xmlns:a="http://schemas.openxmlformats.org/drawingml/2006/main" xmlns:pic="http://schemas.openxmlformats.org/drawingml/2006/picture">
            <wp:extent cx="5486400" cy="3550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by_tie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Calibration by tier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