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Business Understanding &amp; Policy Charter</w:t>
      </w:r>
    </w:p>
    <w:p>
      <w:r>
        <w:t>Generated: 2026-08-24 10:54</w:t>
      </w:r>
    </w:p>
    <w:p>
      <w:pPr>
        <w:pStyle w:val="Heading1"/>
      </w:pPr>
      <w:r>
        <w:t>1. Problem Statement</w:t>
      </w:r>
    </w:p>
    <w:p>
      <w:r>
        <w:t>Problem 1's champion model (xgboost, real holdout AUC 0.9620396555226549, real holdout AMEX metric 0.7935631597243085) outputs a continuous probability of default per customer. That continuous score is not, by itself, an actionable underwriting or pricing instrument -- credit policy is written in discrete risk grades (e.g. 'Prime', 'Subprime'), each carrying its own approval rule, pricing, and credit-limit policy. Problem 2 defines a real, validated, monotonic mapping from the continuous PD score to a small set of risk tiers, and exposes that mapping as a live service.</w:t>
      </w:r>
    </w:p>
    <w:p>
      <w:pPr>
        <w:pStyle w:val="Heading1"/>
      </w:pPr>
      <w:r>
        <w:t>2. KPI Tree</w:t>
      </w:r>
    </w:p>
    <w:p>
      <w:pPr>
        <w:pStyle w:val="ListBullet"/>
      </w:pPr>
      <w:r>
        <w:t>Bad-rate separation: the real, measured default rate of the highest-risk tier must exceed that of the lowest-risk tier by a wide, statistically significant margin (see KPI target below).</w:t>
      </w:r>
    </w:p>
    <w:p>
      <w:pPr>
        <w:pStyle w:val="ListBullet"/>
      </w:pPr>
      <w:r>
        <w:t>Rank-ordering / monotonicity: real measured bad rate must increase strictly from the lowest to the highest tier -- a tier scheme that is not monotonic is not usable for pricing.</w:t>
      </w:r>
    </w:p>
    <w:p>
      <w:pPr>
        <w:pStyle w:val="ListBullet"/>
      </w:pPr>
      <w:r>
        <w:t>Population balance: no tier should be so small that it is not commercially actionable, or so large that it is not differentiated from the whole book.</w:t>
      </w:r>
    </w:p>
    <w:p>
      <w:pPr>
        <w:pStyle w:val="ListBullet"/>
      </w:pPr>
      <w:r>
        <w:t>Stability: tier composition must not swing wildly between two random halves of the same holdout population -- an unstable scheme cannot support a stable pricing policy.</w:t>
      </w:r>
    </w:p>
    <w:p>
      <w:pPr>
        <w:pStyle w:val="Heading1"/>
      </w:pPr>
      <w:r>
        <w:t>3. Risk Appetite Statement</w:t>
      </w:r>
    </w:p>
    <w:p>
      <w:r>
        <w:t>ASSUMPTION -- this platform's illustrative risk appetite: extend credit across all four tiers with tier-differentiated pricing and limits, decline or require manual underwriter override only in the highest-risk tier. A real institution's actual risk appetite is a board-level policy decision this Kaggle dataset cannot supply.</w:t>
      </w:r>
    </w:p>
    <w:p>
      <w:pPr>
        <w:pStyle w:val="Heading1"/>
      </w:pPr>
      <w:r>
        <w:t>4. Risk Tier Policy -- Business-Rule Bands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Tier</w:t>
            </w:r>
          </w:p>
        </w:tc>
        <w:tc>
          <w:tcPr>
            <w:tcW w:type="dxa" w:w="2160"/>
          </w:tcPr>
          <w:p>
            <w:r>
              <w:t>Tier Order</w:t>
            </w:r>
          </w:p>
        </w:tc>
        <w:tc>
          <w:tcPr>
            <w:tcW w:type="dxa" w:w="2160"/>
          </w:tcPr>
          <w:p>
            <w:r>
              <w:t>Pd Lower</w:t>
            </w:r>
          </w:p>
        </w:tc>
        <w:tc>
          <w:tcPr>
            <w:tcW w:type="dxa" w:w="2160"/>
          </w:tcPr>
          <w:p>
            <w:r>
              <w:t>Pd Upper</w:t>
            </w:r>
          </w:p>
        </w:tc>
      </w:tr>
      <w:tr>
        <w:tc>
          <w:tcPr>
            <w:tcW w:type="dxa" w:w="2160"/>
          </w:tcPr>
          <w:p>
            <w:r>
              <w:t>Prime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Near-Prime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Subprime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</w:tr>
    </w:tbl>
    <w:p>
      <w:pPr>
        <w:pStyle w:val="Heading1"/>
      </w:pPr>
      <w:r>
        <w:t>5. Risk Tier Policy -- Quantile Method (ASSUMPTION)</w:t>
      </w:r>
    </w:p>
    <w:p>
      <w:r>
        <w:t>ASSUMPTION -- equal-population quartiles of the real holdout PD score distribution; guarantees balanced tier sizes by construction.</w:t>
      </w:r>
    </w:p>
    <w:p>
      <w:r>
        <w:t>Cutpoints: [0.25, 0.5, 0.75]</w:t>
      </w:r>
    </w:p>
    <w:p>
      <w:pPr>
        <w:pStyle w:val="Heading1"/>
      </w:pPr>
      <w:r>
        <w:t>6. KPI Targets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 Bad Rate Ratio Top To Bottom Tier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Max Tier Population Psi Split Half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Min Tier Population 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Require Strict Monotonicity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7. 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Interest</w:t>
            </w:r>
          </w:p>
        </w:tc>
      </w:tr>
      <w:tr>
        <w:tc>
          <w:tcPr>
            <w:tcW w:type="dxa" w:w="4320"/>
          </w:tcPr>
          <w:p>
            <w:r>
              <w:t>Credit Risk / Underwriting</w:t>
            </w:r>
          </w:p>
        </w:tc>
        <w:tc>
          <w:tcPr>
            <w:tcW w:type="dxa" w:w="4320"/>
          </w:tcPr>
          <w:p>
            <w:r>
              <w:t>Tier definitions directly set approval and manual-review rules; needs monotonic, statistically defensible bands.</w:t>
            </w:r>
          </w:p>
        </w:tc>
      </w:tr>
      <w:tr>
        <w:tc>
          <w:tcPr>
            <w:tcW w:type="dxa" w:w="4320"/>
          </w:tcPr>
          <w:p>
            <w:r>
              <w:t>Pricing / Product</w:t>
            </w:r>
          </w:p>
        </w:tc>
        <w:tc>
          <w:tcPr>
            <w:tcW w:type="dxa" w:w="4320"/>
          </w:tcPr>
          <w:p>
            <w:r>
              <w:t>APR and fee schedules are set per tier; needs stable, well-separated tiers that do not shift materially month to month.</w:t>
            </w:r>
          </w:p>
        </w:tc>
      </w:tr>
      <w:tr>
        <w:tc>
          <w:tcPr>
            <w:tcW w:type="dxa" w:w="4320"/>
          </w:tcPr>
          <w:p>
            <w:r>
              <w:t>Collections</w:t>
            </w:r>
          </w:p>
        </w:tc>
        <w:tc>
          <w:tcPr>
            <w:tcW w:type="dxa" w:w="4320"/>
          </w:tcPr>
          <w:p>
            <w:r>
              <w:t>Consumes tier as a prioritization signal alongside delinquency status; needs tier to correlate with real observed loss.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Needs the bucketing methodology documented, validated, and backtested before it can be used for regulatory-adjacent capital or provisioning inputs (Problem 3, IFRS9/CECL).</w:t>
            </w:r>
          </w:p>
        </w:tc>
      </w:tr>
      <w:tr>
        <w:tc>
          <w:tcPr>
            <w:tcW w:type="dxa" w:w="4320"/>
          </w:tcPr>
          <w:p>
            <w:r>
              <w:t>Executive / CRO</w:t>
            </w:r>
          </w:p>
        </w:tc>
        <w:tc>
          <w:tcPr>
            <w:tcW w:type="dxa" w:w="4320"/>
          </w:tcPr>
          <w:p>
            <w:r>
              <w:t>Needs tier-level bad-rate and population reporting to understand book composition and set risk appetite.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