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1, Problem 2: Risk Tier Classification -- Comprehensive Report</w:t>
      </w:r>
    </w:p>
    <w:p>
      <w:r>
        <w:t>Generated: 2026-08-24 12:42</w:t>
      </w:r>
    </w:p>
    <w:p>
      <w:pPr>
        <w:pStyle w:val="Heading1"/>
      </w:pPr>
      <w:r>
        <w:t>1. Notebook Completion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Notebook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Summary File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Business Understanding &amp; Policy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notebook_19_summary.json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Model Development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notebook_20_summary.json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notebook_21_summary.json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notebook_22_summary.json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Not Yet Run</w:t>
            </w:r>
          </w:p>
        </w:tc>
        <w:tc>
          <w:tcPr>
            <w:tcW w:type="dxa" w:w="2160"/>
          </w:tcPr>
          <w:p>
            <w:r>
              <w:t>(missing)</w:t>
            </w:r>
          </w:p>
        </w:tc>
      </w:tr>
    </w:tbl>
    <w:p>
      <w:pPr>
        <w:pStyle w:val="Heading1"/>
      </w:pPr>
      <w:r>
        <w:t>2. At A Glance</w:t>
      </w:r>
    </w:p>
    <w:p>
      <w:r>
        <w:t>Champion Model: xgboost</w:t>
      </w:r>
    </w:p>
    <w:p>
      <w:r>
        <w:t>Champion Holdout Auc: 0.9620396555226549</w:t>
      </w:r>
    </w:p>
    <w:p>
      <w:r>
        <w:t>Champion Holdout Amex Metric: 0.7935631597243085</w:t>
      </w:r>
    </w:p>
    <w:p>
      <w:r>
        <w:t>N Tiers: 4</w:t>
      </w:r>
    </w:p>
    <w:p>
      <w:r>
        <w:t>Primary Method: business_rule</w:t>
      </w:r>
    </w:p>
    <w:p>
      <w:r>
        <w:t>Primary Method Full Kpi Pass: True</w:t>
      </w:r>
    </w:p>
    <w:p>
      <w:r>
        <w:t>Split Half Psi: 0.0002</w:t>
      </w:r>
    </w:p>
    <w:p>
      <w:r>
        <w:t>Chi Square P Value Nb20: 0.0</w:t>
      </w:r>
    </w:p>
    <w:p>
      <w:r>
        <w:t>Rank Ordering Pass Nb21: True</w:t>
      </w:r>
    </w:p>
    <w:p>
      <w:r>
        <w:t>Cramers V: 0.7636626665627394</w:t>
      </w:r>
    </w:p>
    <w:p>
      <w:r>
        <w:t>Fair Lending Testing Status: Not Possible -- Data Limitation (see Section 9)</w:t>
      </w:r>
    </w:p>
    <w:p>
      <w:r>
        <w:t>Api Self Test Passed: True</w:t>
      </w:r>
    </w:p>
    <w:p>
      <w:r>
        <w:t>Api Latency P50 Ms: 12.953</w:t>
      </w:r>
    </w:p>
    <w:p>
      <w:pPr>
        <w:pStyle w:val="Heading1"/>
      </w:pPr>
      <w:r>
        <w:t>3. Business &amp; Financial Impact Narrative (Honest Scope)</w:t>
      </w:r>
    </w:p>
    <w:p>
      <w:r>
        <w:t>This Kaggle dataset carries no revenue, cost, or investment data for any real institution -- every dollar figure below rests on an explicit, editable ASSUMPTION, separated from the real, measured tier statistics that drive it (Notebook 20's bad-rate-by-tier table).</w:t>
      </w:r>
    </w:p>
    <w:p>
      <w:pPr>
        <w:pStyle w:val="ListBullet"/>
      </w:pPr>
      <w:r>
        <w:t>ASSUMPTION -- deployment portfolio size accounts: 500000</w:t>
      </w:r>
    </w:p>
    <w:p>
      <w:pPr>
        <w:pStyle w:val="ListBullet"/>
      </w:pPr>
      <w:r>
        <w:t>ASSUMPTION -- avg exposure at default usd: 3500</w:t>
      </w:r>
    </w:p>
    <w:p>
      <w:pPr>
        <w:pStyle w:val="ListBullet"/>
      </w:pPr>
      <w:r>
        <w:t>ASSUMPTION -- high risk tier population share: 0.1</w:t>
      </w:r>
    </w:p>
    <w:p>
      <w:pPr>
        <w:pStyle w:val="ListBullet"/>
      </w:pPr>
      <w:r>
        <w:t>ASSUMPTION -- risk based repricing loss reduction share: 0.15</w:t>
      </w:r>
    </w:p>
    <w:p>
      <w:r>
        <w:t>Real, measured bad-rate spread (highest- vs. lowest-risk tier): 74.96 percentage points. Illustrative annual loss avoidance from risk-based tiering, under the stated assumptions: $19,877,288.</w:t>
      </w:r>
    </w:p>
    <w:p>
      <w:pPr>
        <w:pStyle w:val="Heading1"/>
      </w:pPr>
      <w:r>
        <w:t>4. Charts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completion_tracke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Notebook Completion Tracker Chart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bad_rate_by_tie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Final Bad Rate By Tier Chart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