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4: Delinquency Escalation / Loss Severity -- Financial Impact Report</w:t>
      </w:r>
    </w:p>
    <w:p>
      <w:r>
        <w:t>Generated: 2026-08-24 16:51</w:t>
      </w:r>
    </w:p>
    <w:p>
      <w:pPr>
        <w:pStyle w:val="Heading1"/>
      </w:pPr>
      <w:r>
        <w:t>1. Executive Summary</w:t>
      </w:r>
    </w:p>
    <w:p>
      <w:r>
        <w:t>Tier-differentiated LGD, computed from a real Escalation Severity Score, was validated against real observed default rates (Notebooks 26-28) and applied to 91,783 real holdout customers (23,766 real defaulters). Compared to Notebook 08's flat 45% LGD, this changes recognized loss by $19,435,432 -- the flat 45% LGD was UNDER-recognizing loss on this real portfolio -- tiering surfaces regulatory/under-provisioning risk the flat model was hiding. Early intervention on the Severe tier (an ASSUMPTION 15% success rate) is estimated to prevent $9,690,840 of loss per scoring cycle, for an estimated 0.0-month payback on a $60,000 implementation investment.</w:t>
      </w:r>
    </w:p>
    <w:p>
      <w:pPr>
        <w:pStyle w:val="Heading1"/>
      </w:pPr>
      <w:r>
        <w:t>2. Loss Recognition: Flat vs Tier-Differentiated LGD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Population</w:t>
            </w:r>
          </w:p>
        </w:tc>
        <w:tc>
          <w:tcPr>
            <w:tcW w:type="dxa" w:w="1234"/>
          </w:tcPr>
          <w:p>
            <w:r>
              <w:t>Defaulters</w:t>
            </w:r>
          </w:p>
        </w:tc>
        <w:tc>
          <w:tcPr>
            <w:tcW w:type="dxa" w:w="1234"/>
          </w:tcPr>
          <w:p>
            <w:r>
              <w:t>Observed Default Rate</w:t>
            </w:r>
          </w:p>
        </w:tc>
        <w:tc>
          <w:tcPr>
            <w:tcW w:type="dxa" w:w="1234"/>
          </w:tcPr>
          <w:p>
            <w:r>
              <w:t>Lgd Assigned</w:t>
            </w:r>
          </w:p>
        </w:tc>
        <w:tc>
          <w:tcPr>
            <w:tcW w:type="dxa" w:w="1234"/>
          </w:tcPr>
          <w:p>
            <w:r>
              <w:t>Loss Flat Lgd Usd</w:t>
            </w:r>
          </w:p>
        </w:tc>
        <w:tc>
          <w:tcPr>
            <w:tcW w:type="dxa" w:w="1234"/>
          </w:tcPr>
          <w:p>
            <w:r>
              <w:t>Loss Tier Lgd Usd</w:t>
            </w:r>
          </w:p>
        </w:tc>
      </w:tr>
      <w:tr>
        <w:tc>
          <w:tcPr>
            <w:tcW w:type="dxa" w:w="1234"/>
          </w:tcPr>
          <w:p>
            <w:r>
              <w:t>Low Severity</w:t>
            </w:r>
          </w:p>
        </w:tc>
        <w:tc>
          <w:tcPr>
            <w:tcW w:type="dxa" w:w="1234"/>
          </w:tcPr>
          <w:p>
            <w:r>
              <w:t>30328</w:t>
            </w:r>
          </w:p>
        </w:tc>
        <w:tc>
          <w:tcPr>
            <w:tcW w:type="dxa" w:w="1234"/>
          </w:tcPr>
          <w:p>
            <w:r>
              <w:t>407</w:t>
            </w:r>
          </w:p>
        </w:tc>
        <w:tc>
          <w:tcPr>
            <w:tcW w:type="dxa" w:w="1234"/>
          </w:tcPr>
          <w:p>
            <w:r>
              <w:t>0.01342</w:t>
            </w:r>
          </w:p>
        </w:tc>
        <w:tc>
          <w:tcPr>
            <w:tcW w:type="dxa" w:w="1234"/>
          </w:tcPr>
          <w:p>
            <w:r>
              <w:t>0.3015</w:t>
            </w:r>
          </w:p>
        </w:tc>
        <w:tc>
          <w:tcPr>
            <w:tcW w:type="dxa" w:w="1234"/>
          </w:tcPr>
          <w:p>
            <w:r>
              <w:t>915750.0</w:t>
            </w:r>
          </w:p>
        </w:tc>
        <w:tc>
          <w:tcPr>
            <w:tcW w:type="dxa" w:w="1234"/>
          </w:tcPr>
          <w:p>
            <w:r>
              <w:t>613552.5</w:t>
            </w:r>
          </w:p>
        </w:tc>
      </w:tr>
      <w:tr>
        <w:tc>
          <w:tcPr>
            <w:tcW w:type="dxa" w:w="1234"/>
          </w:tcPr>
          <w:p>
            <w:r>
              <w:t>Moderate Severity</w:t>
            </w:r>
          </w:p>
        </w:tc>
        <w:tc>
          <w:tcPr>
            <w:tcW w:type="dxa" w:w="1234"/>
          </w:tcPr>
          <w:p>
            <w:r>
              <w:t>30924</w:t>
            </w:r>
          </w:p>
        </w:tc>
        <w:tc>
          <w:tcPr>
            <w:tcW w:type="dxa" w:w="1234"/>
          </w:tcPr>
          <w:p>
            <w:r>
              <w:t>3422</w:t>
            </w:r>
          </w:p>
        </w:tc>
        <w:tc>
          <w:tcPr>
            <w:tcW w:type="dxa" w:w="1234"/>
          </w:tcPr>
          <w:p>
            <w:r>
              <w:t>0.110658</w:t>
            </w:r>
          </w:p>
        </w:tc>
        <w:tc>
          <w:tcPr>
            <w:tcW w:type="dxa" w:w="1234"/>
          </w:tcPr>
          <w:p>
            <w:r>
              <w:t>0.45</w:t>
            </w:r>
          </w:p>
        </w:tc>
        <w:tc>
          <w:tcPr>
            <w:tcW w:type="dxa" w:w="1234"/>
          </w:tcPr>
          <w:p>
            <w:r>
              <w:t>7699500.0</w:t>
            </w:r>
          </w:p>
        </w:tc>
        <w:tc>
          <w:tcPr>
            <w:tcW w:type="dxa" w:w="1234"/>
          </w:tcPr>
          <w:p>
            <w:r>
              <w:t>7699500.0</w:t>
            </w:r>
          </w:p>
        </w:tc>
      </w:tr>
      <w:tr>
        <w:tc>
          <w:tcPr>
            <w:tcW w:type="dxa" w:w="1234"/>
          </w:tcPr>
          <w:p>
            <w:r>
              <w:t>Severe</w:t>
            </w:r>
          </w:p>
        </w:tc>
        <w:tc>
          <w:tcPr>
            <w:tcW w:type="dxa" w:w="1234"/>
          </w:tcPr>
          <w:p>
            <w:r>
              <w:t>30531</w:t>
            </w:r>
          </w:p>
        </w:tc>
        <w:tc>
          <w:tcPr>
            <w:tcW w:type="dxa" w:w="1234"/>
          </w:tcPr>
          <w:p>
            <w:r>
              <w:t>19937</w:t>
            </w:r>
          </w:p>
        </w:tc>
        <w:tc>
          <w:tcPr>
            <w:tcW w:type="dxa" w:w="1234"/>
          </w:tcPr>
          <w:p>
            <w:r>
              <w:t>0.653008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44858250.0</w:t>
            </w:r>
          </w:p>
        </w:tc>
        <w:tc>
          <w:tcPr>
            <w:tcW w:type="dxa" w:w="1234"/>
          </w:tcPr>
          <w:p>
            <w:r>
              <w:t>64595880.0</w:t>
            </w:r>
          </w:p>
        </w:tc>
      </w:tr>
    </w:tbl>
    <w:p>
      <w:r>
        <w:t>Total flat-LGD loss: $53,473,500  |  Total tier-LGD loss: $72,908,932  |  Difference: $19,435,432</w:t>
      </w:r>
    </w:p>
    <w:p>
      <w:pPr>
        <w:pStyle w:val="Heading1"/>
      </w:pPr>
      <w:r>
        <w:t>3. Loss-Prevention Opportunity (Severe 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Severe Tier Defaulters</w:t>
            </w:r>
          </w:p>
        </w:tc>
        <w:tc>
          <w:tcPr>
            <w:tcW w:type="dxa" w:w="4320"/>
          </w:tcPr>
          <w:p>
            <w:r>
              <w:t>19937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2991</w:t>
            </w:r>
          </w:p>
        </w:tc>
      </w:tr>
      <w:tr>
        <w:tc>
          <w:tcPr>
            <w:tcW w:type="dxa" w:w="4320"/>
          </w:tcPr>
          <w:p>
            <w:r>
              <w:t>Loss Prevented Per Cycle Usd</w:t>
            </w:r>
          </w:p>
        </w:tc>
        <w:tc>
          <w:tcPr>
            <w:tcW w:type="dxa" w:w="4320"/>
          </w:tcPr>
          <w:p>
            <w:r>
              <w:t>$9,690,840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$60,000</w:t>
            </w:r>
          </w:p>
        </w:tc>
      </w:tr>
      <w:tr>
        <w:tc>
          <w:tcPr>
            <w:tcW w:type="dxa" w:w="4320"/>
          </w:tcPr>
          <w:p>
            <w:r>
              <w:t>Annual Benefit Usd</w:t>
            </w:r>
          </w:p>
        </w:tc>
        <w:tc>
          <w:tcPr>
            <w:tcW w:type="dxa" w:w="4320"/>
          </w:tcPr>
          <w:p>
            <w:r>
              <w:t>$38,763,360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64,506%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Collections Agents (Frontline)</w:t>
            </w:r>
          </w:p>
        </w:tc>
        <w:tc>
          <w:tcPr>
            <w:tcW w:type="dxa" w:w="4320"/>
          </w:tcPr>
          <w:p>
            <w:r>
              <w:t>Prioritize outbound contact on the 19,937 real Severe-tier accounts first each day -- their observed default rate (65.3%) is the highest of any tier. Target: attempt contact within 24 hours of a Severe-tier flag.</w:t>
            </w:r>
          </w:p>
        </w:tc>
      </w:tr>
      <w:tr>
        <w:tc>
          <w:tcPr>
            <w:tcW w:type="dxa" w:w="4320"/>
          </w:tcPr>
          <w:p>
            <w:r>
              <w:t>Collections Team Lead / Manager</w:t>
            </w:r>
          </w:p>
        </w:tc>
        <w:tc>
          <w:tcPr>
            <w:tcW w:type="dxa" w:w="4320"/>
          </w:tcPr>
          <w:p>
            <w:r>
              <w:t>Track the 2,991-account early-intervention goal (from the 15% ASSUMPTION success rate) as a weekly team KPI; report actual prevented-default count vs. this target each month to calibrate the assumption.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Notebook 27's severity scoring each time Notebook 04's engineered features refresh; monitor the split-half PSI (last measured 0.0000, 'stable') and re-tier if it exceeds 0.10 for two consecutive cycles.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this notebook's chi-square (p=0.0e+00) and z-test (p=0.0e+00) results with the model's annual validation packet; re-certify before any change to the frozen severity_scoring_bundle.json.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Update the quarterly loss-provisioning workbook to use tier-differentiated LGD instead of the flat 45% -- a $19,435,432 recognition difference was measured on this holdout; reconcile within the next provisioning cycle.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$60,000 investment given an estimated 0.0-month payback and 64,506% Year-1 ROI from Severe-tier loss prevention alone; revisit the 4x/year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baseline_flat_lgd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severe_tier_intervention_success_rate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ASSUMPTION -- illustrative conservative early-intervention efficacy figure for the highest-severity tier; edit to your institution's own collections-outcome data.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60000.0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scoring pipeline is re-run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