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AMEX Enterprise Credit Risk Platform</w:t>
      </w:r>
    </w:p>
    <w:p>
      <w:r>
        <w:t>Phase 2, Problem 5: Early Payment Default Detection -- Financial Impact Report</w:t>
      </w:r>
    </w:p>
    <w:p>
      <w:r>
        <w:t>Generated: 2026-08-25 02:22</w:t>
      </w:r>
    </w:p>
    <w:p>
      <w:pPr>
        <w:pStyle w:val="Heading1"/>
      </w:pPr>
      <w:r>
        <w:t>1. Executive Summary</w:t>
      </w:r>
    </w:p>
    <w:p>
      <w:r>
        <w:t>The early-window model (K=3, xgboost) validated in Notebooks 34-36 needs only a customer's first 3 monthly statements to flag risk, versus the 13 statements a typical customer has by the time the full-history model can score them -- 10 months of early warning gained, at 96.3% of the full-history model's real AUC. This model is currently RECOMMENDED for production. Applying it to the top-4% highest-risk accounts on the real 91,783-customer holdout, an estimated 10,884 real defaulters are captured early; at an ASSUMPTION 20% intervention success rate, this is estimated to prevent $4,898,250 of loss per scoring cycle, for an estimated 0.0 months payback on a $55,000 implementation investment.</w:t>
      </w:r>
    </w:p>
    <w:p>
      <w:pPr>
        <w:pStyle w:val="Heading1"/>
      </w:pPr>
      <w:r>
        <w:t>2. Early-Warning Value: Time Gained &amp; Population Flagged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Median Statements Full History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Winning Early Window K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Months Earlier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Real Holdout Population</w:t>
            </w:r>
          </w:p>
        </w:tc>
        <w:tc>
          <w:tcPr>
            <w:tcW w:type="dxa" w:w="4320"/>
          </w:tcPr>
          <w:p>
            <w:r>
              <w:t>91,783</w:t>
            </w:r>
          </w:p>
        </w:tc>
      </w:tr>
      <w:tr>
        <w:tc>
          <w:tcPr>
            <w:tcW w:type="dxa" w:w="4320"/>
          </w:tcPr>
          <w:p>
            <w:r>
              <w:t>Estimated Holdout Defaulters</w:t>
            </w:r>
          </w:p>
        </w:tc>
        <w:tc>
          <w:tcPr>
            <w:tcW w:type="dxa" w:w="4320"/>
          </w:tcPr>
          <w:p>
            <w:r>
              <w:t>23,766</w:t>
            </w:r>
          </w:p>
        </w:tc>
      </w:tr>
      <w:tr>
        <w:tc>
          <w:tcPr>
            <w:tcW w:type="dxa" w:w="4320"/>
          </w:tcPr>
          <w:p>
            <w:r>
              <w:t>Accounts Flagged Top 4Pct</w:t>
            </w:r>
          </w:p>
        </w:tc>
        <w:tc>
          <w:tcPr>
            <w:tcW w:type="dxa" w:w="4320"/>
          </w:tcPr>
          <w:p>
            <w:r>
              <w:t>3,671</w:t>
            </w:r>
          </w:p>
        </w:tc>
      </w:tr>
      <w:tr>
        <w:tc>
          <w:tcPr>
            <w:tcW w:type="dxa" w:w="4320"/>
          </w:tcPr>
          <w:p>
            <w:r>
              <w:t>Real Top 4Pct Capture Rate</w:t>
            </w:r>
          </w:p>
        </w:tc>
        <w:tc>
          <w:tcPr>
            <w:tcW w:type="dxa" w:w="4320"/>
          </w:tcPr>
          <w:p>
            <w:r>
              <w:t>45.8%</w:t>
            </w:r>
          </w:p>
        </w:tc>
      </w:tr>
      <w:tr>
        <w:tc>
          <w:tcPr>
            <w:tcW w:type="dxa" w:w="4320"/>
          </w:tcPr>
          <w:p>
            <w:r>
              <w:t>Defaulters Captured Top 4Pct</w:t>
            </w:r>
          </w:p>
        </w:tc>
        <w:tc>
          <w:tcPr>
            <w:tcW w:type="dxa" w:w="4320"/>
          </w:tcPr>
          <w:p>
            <w:r>
              <w:t>10,884</w:t>
            </w:r>
          </w:p>
        </w:tc>
      </w:tr>
    </w:tbl>
    <w:p>
      <w:pPr>
        <w:pStyle w:val="Heading1"/>
      </w:pPr>
      <w:r>
        <w:t>3. Loss-Prevention Opportunity (Early Intervention)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Defaulters Captured Early</w:t>
            </w:r>
          </w:p>
        </w:tc>
        <w:tc>
          <w:tcPr>
            <w:tcW w:type="dxa" w:w="4320"/>
          </w:tcPr>
          <w:p>
            <w:r>
              <w:t>10884</w:t>
            </w:r>
          </w:p>
        </w:tc>
      </w:tr>
      <w:tr>
        <w:tc>
          <w:tcPr>
            <w:tcW w:type="dxa" w:w="4320"/>
          </w:tcPr>
          <w:p>
            <w:r>
              <w:t>Intervention Success Rate Assumption</w:t>
            </w:r>
          </w:p>
        </w:tc>
        <w:tc>
          <w:tcPr>
            <w:tcW w:type="dxa" w:w="4320"/>
          </w:tcPr>
          <w:p>
            <w:r>
              <w:t>20%</w:t>
            </w:r>
          </w:p>
        </w:tc>
      </w:tr>
      <w:tr>
        <w:tc>
          <w:tcPr>
            <w:tcW w:type="dxa" w:w="4320"/>
          </w:tcPr>
          <w:p>
            <w:r>
              <w:t>Preventable Defaults</w:t>
            </w:r>
          </w:p>
        </w:tc>
        <w:tc>
          <w:tcPr>
            <w:tcW w:type="dxa" w:w="4320"/>
          </w:tcPr>
          <w:p>
            <w:r>
              <w:t>2177</w:t>
            </w:r>
          </w:p>
        </w:tc>
      </w:tr>
      <w:tr>
        <w:tc>
          <w:tcPr>
            <w:tcW w:type="dxa" w:w="4320"/>
          </w:tcPr>
          <w:p>
            <w:r>
              <w:t>Loss Prevented Per Cycle Usd</w:t>
            </w:r>
          </w:p>
        </w:tc>
        <w:tc>
          <w:tcPr>
            <w:tcW w:type="dxa" w:w="4320"/>
          </w:tcPr>
          <w:p>
            <w:r>
              <w:t>$4,898,250</w:t>
            </w:r>
          </w:p>
        </w:tc>
      </w:tr>
    </w:tbl>
    <w:p>
      <w:pPr>
        <w:pStyle w:val="Heading1"/>
      </w:pPr>
      <w:r>
        <w:t>4. ROI, Investment &amp; Payback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Amount Invested Usd</w:t>
            </w:r>
          </w:p>
        </w:tc>
        <w:tc>
          <w:tcPr>
            <w:tcW w:type="dxa" w:w="4320"/>
          </w:tcPr>
          <w:p>
            <w:r>
              <w:t>$55,000</w:t>
            </w:r>
          </w:p>
        </w:tc>
      </w:tr>
      <w:tr>
        <w:tc>
          <w:tcPr>
            <w:tcW w:type="dxa" w:w="4320"/>
          </w:tcPr>
          <w:p>
            <w:r>
              <w:t>Annual Benefit Usd</w:t>
            </w:r>
          </w:p>
        </w:tc>
        <w:tc>
          <w:tcPr>
            <w:tcW w:type="dxa" w:w="4320"/>
          </w:tcPr>
          <w:p>
            <w:r>
              <w:t>$19,593,000</w:t>
            </w:r>
          </w:p>
        </w:tc>
      </w:tr>
      <w:tr>
        <w:tc>
          <w:tcPr>
            <w:tcW w:type="dxa" w:w="4320"/>
          </w:tcPr>
          <w:p>
            <w:r>
              <w:t>Roi Year 1 Pct</w:t>
            </w:r>
          </w:p>
        </w:tc>
        <w:tc>
          <w:tcPr>
            <w:tcW w:type="dxa" w:w="4320"/>
          </w:tcPr>
          <w:p>
            <w:r>
              <w:t>35,524%</w:t>
            </w:r>
          </w:p>
        </w:tc>
      </w:tr>
      <w:tr>
        <w:tc>
          <w:tcPr>
            <w:tcW w:type="dxa" w:w="4320"/>
          </w:tcPr>
          <w:p>
            <w:r>
              <w:t>Payback Period Months</w:t>
            </w:r>
          </w:p>
        </w:tc>
        <w:tc>
          <w:tcPr>
            <w:tcW w:type="dxa" w:w="4320"/>
          </w:tcPr>
          <w:p>
            <w:r>
              <w:t>0.0 months</w:t>
            </w:r>
          </w:p>
        </w:tc>
      </w:tr>
    </w:tbl>
    <w:p>
      <w:pPr>
        <w:pStyle w:val="Heading1"/>
      </w:pPr>
      <w:r>
        <w:t>5. SMART Suggestions by Organizational Level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Org Level</w:t>
            </w:r>
          </w:p>
        </w:tc>
        <w:tc>
          <w:tcPr>
            <w:tcW w:type="dxa" w:w="4320"/>
          </w:tcPr>
          <w:p>
            <w:r>
              <w:t>Suggestion</w:t>
            </w:r>
          </w:p>
        </w:tc>
      </w:tr>
      <w:tr>
        <w:tc>
          <w:tcPr>
            <w:tcW w:type="dxa" w:w="4320"/>
          </w:tcPr>
          <w:p>
            <w:r>
              <w:t>Early-Warning Ops / Frontline Risk Analysts</w:t>
            </w:r>
          </w:p>
        </w:tc>
        <w:tc>
          <w:tcPr>
            <w:tcW w:type="dxa" w:w="4320"/>
          </w:tcPr>
          <w:p>
            <w:r>
              <w:t>Work the top-4% highest-risk flag list from the K=3 model daily -- it needs only a customer's first 3 statements, so accounts can be worked ~10 months sooner than waiting for full history. Target: contact attempt within 48 hours of a new top-4% flag.</w:t>
            </w:r>
          </w:p>
        </w:tc>
      </w:tr>
      <w:tr>
        <w:tc>
          <w:tcPr>
            <w:tcW w:type="dxa" w:w="4320"/>
          </w:tcPr>
          <w:p>
            <w:r>
              <w:t>Collections/Risk Team Lead</w:t>
            </w:r>
          </w:p>
        </w:tc>
        <w:tc>
          <w:tcPr>
            <w:tcW w:type="dxa" w:w="4320"/>
          </w:tcPr>
          <w:p>
            <w:r>
              <w:t>Track the 2,177-account early-intervention goal (from the 20% ASSUMPTION success rate) as a weekly KPI; report actual prevented-default count vs. this target each month to calibrate the assumption.</w:t>
            </w:r>
          </w:p>
        </w:tc>
      </w:tr>
      <w:tr>
        <w:tc>
          <w:tcPr>
            <w:tcW w:type="dxa" w:w="4320"/>
          </w:tcPr>
          <w:p>
            <w:r>
              <w:t>Risk / Credit Analyst</w:t>
            </w:r>
          </w:p>
        </w:tc>
        <w:tc>
          <w:tcPr>
            <w:tcW w:type="dxa" w:w="4320"/>
          </w:tcPr>
          <w:p>
            <w:r>
              <w:t>Re-run this early-window scoring each time new statement data lands; monitor the split-half score PSI (Notebook 36 measured 0.0004) and the bootstrap AUC CI (last measured [0.9248, 0.9282]) -- re-validate if either drifts materially.</w:t>
            </w:r>
          </w:p>
        </w:tc>
      </w:tr>
      <w:tr>
        <w:tc>
          <w:tcPr>
            <w:tcW w:type="dxa" w:w="4320"/>
          </w:tcPr>
          <w:p>
            <w:r>
              <w:t>Model Risk / Compliance (SR 11-7)</w:t>
            </w:r>
          </w:p>
        </w:tc>
        <w:tc>
          <w:tcPr>
            <w:tcW w:type="dxa" w:w="4320"/>
          </w:tcPr>
          <w:p>
            <w:r>
              <w:t>File Notebook 36's bootstrap CI, calibration gap (0.0026), and AUC-retention KPI result (MET) with the model's annual validation packet; this model is currently RECOMMENDED for production use.</w:t>
            </w:r>
          </w:p>
        </w:tc>
      </w:tr>
      <w:tr>
        <w:tc>
          <w:tcPr>
            <w:tcW w:type="dxa" w:w="4320"/>
          </w:tcPr>
          <w:p>
            <w:r>
              <w:t>Finance / Provisioning Team</w:t>
            </w:r>
          </w:p>
        </w:tc>
        <w:tc>
          <w:tcPr>
            <w:tcW w:type="dxa" w:w="4320"/>
          </w:tcPr>
          <w:p>
            <w:r>
              <w:t>Use the early-flagged population to time reserve builds ~10 months sooner than the full-history model would allow -- coordinate with Problem 4's tier-differentiated LGD work for the $ reserve amount per flagged account.</w:t>
            </w:r>
          </w:p>
        </w:tc>
      </w:tr>
      <w:tr>
        <w:tc>
          <w:tcPr>
            <w:tcW w:type="dxa" w:w="4320"/>
          </w:tcPr>
          <w:p>
            <w:r>
              <w:t>CFO / Executive Leadership</w:t>
            </w:r>
          </w:p>
        </w:tc>
        <w:tc>
          <w:tcPr>
            <w:tcW w:type="dxa" w:w="4320"/>
          </w:tcPr>
          <w:p>
            <w:r>
              <w:t>Approve the $55,000 investment given an estimated 0.0 months payback and 35,524% Year-1 ROI from early intervention alone; revisit the 4x/year cadence ASSUMPTION at the next quarterly business review.</w:t>
            </w:r>
          </w:p>
        </w:tc>
      </w:tr>
    </w:tbl>
    <w:p>
      <w:pPr>
        <w:pStyle w:val="Heading1"/>
      </w:pPr>
      <w:r>
        <w:t>6. Assumptions &amp; Sources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Assumption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ead_per_account_usd</w:t>
            </w:r>
          </w:p>
        </w:tc>
        <w:tc>
          <w:tcPr>
            <w:tcW w:type="dxa" w:w="2880"/>
          </w:tcPr>
          <w:p>
            <w:r>
              <w:t>5000.0</w:t>
            </w:r>
          </w:p>
        </w:tc>
        <w:tc>
          <w:tcPr>
            <w:tcW w:type="dxa" w:w="2880"/>
          </w:tcPr>
          <w:p>
            <w:r>
              <w:t>Notebook 08 (inherited, real value read programmatically)</w:t>
            </w:r>
          </w:p>
        </w:tc>
      </w:tr>
      <w:tr>
        <w:tc>
          <w:tcPr>
            <w:tcW w:type="dxa" w:w="2880"/>
          </w:tcPr>
          <w:p>
            <w:r>
              <w:t>lgd_assumption</w:t>
            </w:r>
          </w:p>
        </w:tc>
        <w:tc>
          <w:tcPr>
            <w:tcW w:type="dxa" w:w="2880"/>
          </w:tcPr>
          <w:p>
            <w:r>
              <w:t>0.45</w:t>
            </w:r>
          </w:p>
        </w:tc>
        <w:tc>
          <w:tcPr>
            <w:tcW w:type="dxa" w:w="2880"/>
          </w:tcPr>
          <w:p>
            <w:r>
              <w:t>Notebook 08 (inherited, real value read programmatically)</w:t>
            </w:r>
          </w:p>
        </w:tc>
      </w:tr>
      <w:tr>
        <w:tc>
          <w:tcPr>
            <w:tcW w:type="dxa" w:w="2880"/>
          </w:tcPr>
          <w:p>
            <w:r>
              <w:t>early_intervention_success_rate</w:t>
            </w:r>
          </w:p>
        </w:tc>
        <w:tc>
          <w:tcPr>
            <w:tcW w:type="dxa" w:w="2880"/>
          </w:tcPr>
          <w:p>
            <w:r>
              <w:t>0.2</w:t>
            </w:r>
          </w:p>
        </w:tc>
        <w:tc>
          <w:tcPr>
            <w:tcW w:type="dxa" w:w="2880"/>
          </w:tcPr>
          <w:p>
            <w:r>
              <w:t>ASSUMPTION -- illustrative efficacy of an early-warning intervention (credit-line reduction, payment-plan offer, outreach call) when applied this many months earlier than a full-history model would have flagged the same account; edit to your institution's own collections-outcome data.</w:t>
            </w:r>
          </w:p>
        </w:tc>
      </w:tr>
      <w:tr>
        <w:tc>
          <w:tcPr>
            <w:tcW w:type="dxa" w:w="2880"/>
          </w:tcPr>
          <w:p>
            <w:r>
              <w:t>implementation_cost_usd</w:t>
            </w:r>
          </w:p>
        </w:tc>
        <w:tc>
          <w:tcPr>
            <w:tcW w:type="dxa" w:w="2880"/>
          </w:tcPr>
          <w:p>
            <w:r>
              <w:t>55000.0</w:t>
            </w:r>
          </w:p>
        </w:tc>
        <w:tc>
          <w:tcPr>
            <w:tcW w:type="dxa" w:w="2880"/>
          </w:tcPr>
          <w:p>
            <w:r>
              <w:t>ASSUMPTION -- illustrative one-time build/validate/deploy cost for the early-warning scoring service (data science + risk review time); edit to your institution's actual project cost.</w:t>
            </w:r>
          </w:p>
        </w:tc>
      </w:tr>
      <w:tr>
        <w:tc>
          <w:tcPr>
            <w:tcW w:type="dxa" w:w="2880"/>
          </w:tcPr>
          <w:p>
            <w:r>
              <w:t>annual_application_cycles</w:t>
            </w:r>
          </w:p>
        </w:tc>
        <w:tc>
          <w:tcPr>
            <w:tcW w:type="dxa" w:w="2880"/>
          </w:tcPr>
          <w:p>
            <w:r>
              <w:t>4.0</w:t>
            </w:r>
          </w:p>
        </w:tc>
        <w:tc>
          <w:tcPr>
            <w:tcW w:type="dxa" w:w="2880"/>
          </w:tcPr>
          <w:p>
            <w:r>
              <w:t>ASSUMPTION -- how many times per year this scoring pipeline is re-run against a holdout-sized population (illustrative quarterly cadence); edit to your institution's actual monitoring frequency.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