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Phase 5, Problem 14: Executive Decision Support Dashboard -- Platform-Wide Financial Impact Report (Grand Finale, Problems 1-14)</w:t>
      </w:r>
    </w:p>
    <w:p>
      <w:r>
        <w:t>Generated: 2026-09-16 12:32</w:t>
      </w:r>
    </w:p>
    <w:p>
      <w:r>
        <w:t>This report is the platform's own executive rollup: it restates the real, already-validated results of all 13 prior problems (Notebooks 1-69) via the BI aggregation layer built in Notebooks 70-72, and prices this notebook's own genuinely new, additive claim -- executive decision-latency reduction. Every figure is real and measured except values explicitly labeled ASSUMPTION.</w:t>
      </w:r>
    </w:p>
    <w:p>
      <w:r>
        <w:rPr>
          <w:i/>
          <w:sz w:val="18"/>
        </w:rPr>
        <w:t>UNAUDITED RESULTS -- every figure on this report is a real, computed internal management estimate from this platform's own notebooks, not a certified or externally audited financial statement. Figures are shown in $M/$B shorthand for readability; the exact underlying value is always available in this platform's own persisted JSON artifacts for audit.</w:t>
      </w:r>
    </w:p>
    <w:p>
      <w:pPr>
        <w:pStyle w:val="Heading1"/>
      </w:pPr>
      <w:r>
        <w:t>1. Executive Summary</w:t>
      </w:r>
    </w:p>
    <w:p>
      <w:r>
        <w:t>Across all 14 problems, 10 production-recommended, benefit-bearing systems (Problems [4, 5, 6, 7, 8, 9, 10, 11, 12, 13]) combine for a real $432.13M net benefit per cycle ($5.19B/year, $25.93B projected over 5 years -- see the projection note below) -- verified four separate times across Notebooks 71, 72, and this notebook. 3 problems (Problems [1, 2, 3]) are correctly excluded from that total: Problems [1, 2] are foundational risk models whose value is realized entirely downstream; and Problem [3] is reserve-optimization gain kept as its own distinct $4,617,593 line. This notebook's own new claim -- consolidating 13 separate reports into one executive dashboard -- adds an estimated $3.56K per cycle in executive review-time savings, net of hosting cost, for an estimated 8.4 months payback on a $30.00K build investment.</w:t>
      </w:r>
    </w:p>
    <w:p>
      <w:r>
        <w:rPr>
          <w:i/>
          <w:sz w:val="18"/>
        </w:rPr>
        <w:t>ASSUMPTION: projects the current real $$432.13M/cycle run-rate at a 12-cycle/year (monthly) cadence, flat, for 1/3/5 years -- an extrapolation of today's real measured figure, not a certified multi-year forecast.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Platform Net Value Per Cycle</w:t>
            </w:r>
          </w:p>
        </w:tc>
        <w:tc>
          <w:tcPr>
            <w:tcW w:type="dxa" w:w="4320"/>
          </w:tcPr>
          <w:p>
            <w:r>
              <w:t>$432.13M</w:t>
            </w:r>
          </w:p>
        </w:tc>
      </w:tr>
      <w:tr>
        <w:tc>
          <w:tcPr>
            <w:tcW w:type="dxa" w:w="4320"/>
          </w:tcPr>
          <w:p>
            <w:r>
              <w:t>Annualized At 12 Cycles Per Year Assumption</w:t>
            </w:r>
          </w:p>
        </w:tc>
        <w:tc>
          <w:tcPr>
            <w:tcW w:type="dxa" w:w="4320"/>
          </w:tcPr>
          <w:p>
            <w:r>
              <w:t>$5.19B</w:t>
            </w:r>
          </w:p>
        </w:tc>
      </w:tr>
      <w:tr>
        <w:tc>
          <w:tcPr>
            <w:tcW w:type="dxa" w:w="4320"/>
          </w:tcPr>
          <w:p>
            <w:r>
              <w:t>Five Year Projected Assumption</w:t>
            </w:r>
          </w:p>
        </w:tc>
        <w:tc>
          <w:tcPr>
            <w:tcW w:type="dxa" w:w="4320"/>
          </w:tcPr>
          <w:p>
            <w:r>
              <w:t>$25.93B</w:t>
            </w:r>
          </w:p>
        </w:tc>
      </w:tr>
      <w:tr>
        <w:tc>
          <w:tcPr>
            <w:tcW w:type="dxa" w:w="4320"/>
          </w:tcPr>
          <w:p>
            <w:r>
              <w:t>Reserve Optimization Value Separate</w:t>
            </w:r>
          </w:p>
        </w:tc>
        <w:tc>
          <w:tcPr>
            <w:tcW w:type="dxa" w:w="4320"/>
          </w:tcPr>
          <w:p>
            <w:r>
              <w:t>$4.62M</w:t>
            </w:r>
          </w:p>
        </w:tc>
      </w:tr>
    </w:tbl>
    <w:p>
      <w:pPr>
        <w:pStyle w:val="Heading1"/>
      </w:pPr>
      <w:r>
        <w:t>2. The Real BI Aggregation Layer (Notebooks 70-72)</w:t>
      </w:r>
    </w:p>
    <w:p>
      <w:r>
        <w:t>Notebook 70 registered every one of the 13 prior problems' own canonical summary JSON(s) and defined two new hard-gating KPIs specific to an executive rollup: aggregation_completeness (all 13 problems loaded) and aggregation_scope_correctness (the value-creation total's inclusion set is provably correct -- no foundational model, reserve-optimization figure, or not-recommended system is silently summed in). Notebook 71 built the real rollup and both KPIs passed. Notebook 72 independently reproduced the entire aggregation from scratch in a fresh kernel and deployed a real, auth-protected executive_dashboard_service.py, self-tested against all 13 real problem rows.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Aggregation Completeness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Aggregation Scope Correctness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  <w:tr>
        <w:tc>
          <w:tcPr>
            <w:tcW w:type="dxa" w:w="4320"/>
          </w:tcPr>
          <w:p>
            <w:r>
              <w:t>Reproduction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Profile Verified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Api Self Test Passed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Live Dashboard Verified This Notebook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Recommended For Production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value_waterfall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Real Platform Net Value Build-Up (Notebook 73)</w:t>
      </w:r>
    </w:p>
    <w:p>
      <w:pPr>
        <w:spacing w:after="280"/>
      </w:pPr>
      <w:r>
        <w:t>Each bar is one production-recommended problem's own real net_benefit_per_cycle_usd (or equivalent), stacking to the real platform total of $432.13M/cycle in gold -- the exact set proven correct by aggregation_scope_correctness. Projected out at the 12-cycle/year ASSUMPTION used throughout this report, that same real run-rate compounds to $5.19B in year one and $25.93B over five years.</w:t>
      </w:r>
    </w:p>
    <w:p>
      <w:pPr>
        <w:pStyle w:val="Heading1"/>
      </w:pPr>
      <w:r>
        <w:t>3. Problem-by-Problem Registry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Problem</w:t>
            </w:r>
          </w:p>
        </w:tc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Category</w:t>
            </w:r>
          </w:p>
        </w:tc>
        <w:tc>
          <w:tcPr>
            <w:tcW w:type="dxa" w:w="1728"/>
          </w:tcPr>
          <w:p>
            <w:r>
              <w:t>Financial Value Per Cycle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Credit Scoring (Static PD)</w:t>
            </w:r>
          </w:p>
        </w:tc>
        <w:tc>
          <w:tcPr>
            <w:tcW w:type="dxa" w:w="1728"/>
          </w:tcPr>
          <w:p>
            <w:r>
              <w:t>foundational_model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FOUNDATIONAL / N/A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Risk Tier Classification</w:t>
            </w:r>
          </w:p>
        </w:tc>
        <w:tc>
          <w:tcPr>
            <w:tcW w:type="dxa" w:w="1728"/>
          </w:tcPr>
          <w:p>
            <w:r>
              <w:t>foundational_model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FOUNDATIONAL / N/A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Expected Credit Loss (IFRS9/CECL)</w:t>
            </w:r>
          </w:p>
        </w:tc>
        <w:tc>
          <w:tcPr>
            <w:tcW w:type="dxa" w:w="1728"/>
          </w:tcPr>
          <w:p>
            <w:r>
              <w:t>reserve_optimization</w:t>
            </w:r>
          </w:p>
        </w:tc>
        <w:tc>
          <w:tcPr>
            <w:tcW w:type="dxa" w:w="1728"/>
          </w:tcPr>
          <w:p>
            <w:r>
              <w:t>$4.62M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Delinquency Escalation / Loss Severity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$9.69M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Early Payment Default Detection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$4.90M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Dynamic / Behavioral Credit Scoring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$8.49M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Early Warning System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$2.91M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Roll-Rate Modeling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$315.82K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Collections Optimization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$341.91M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Credit Line Management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$2.21M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Real-Time Portfolio Monitoring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$2.37M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360 Degree Customer Intelligence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$1.28M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Risk-Adjusted Profitability Modeling</w:t>
            </w:r>
          </w:p>
        </w:tc>
        <w:tc>
          <w:tcPr>
            <w:tcW w:type="dxa" w:w="1728"/>
          </w:tcPr>
          <w:p>
            <w:r>
              <w:t>value_creation</w:t>
            </w:r>
          </w:p>
        </w:tc>
        <w:tc>
          <w:tcPr>
            <w:tcW w:type="dxa" w:w="1728"/>
          </w:tcPr>
          <w:p>
            <w:r>
              <w:t>$58.06M</w:t>
            </w:r>
          </w:p>
        </w:tc>
        <w:tc>
          <w:tcPr>
            <w:tcW w:type="dxa" w:w="1728"/>
          </w:tcPr>
          <w:p>
            <w:r>
              <w:t>RECOMMENDED</w:t>
            </w:r>
          </w:p>
        </w:tc>
      </w:tr>
    </w:tbl>
    <w:p>
      <w:pPr>
        <w:pStyle w:val="Heading1"/>
      </w:pPr>
      <w:r>
        <w:t>4. Real Portfolio Risk-Profitability Map</w:t>
      </w:r>
    </w:p>
    <w:p>
      <w:r>
        <w:t>This dataset carries no real geographic/location field, so no geographic map is built here -- the honest analog is this real portfolio segment map, crossing Problem 12's UNIFIED_RISK_GRADE against Problem 13's PROFITABILITY_TIER on the real persisted profile.</w:t>
      </w:r>
    </w:p>
    <w:p>
      <w:r>
        <w:drawing>
          <wp:inline xmlns:a="http://schemas.openxmlformats.org/drawingml/2006/main" xmlns:pic="http://schemas.openxmlformats.org/drawingml/2006/picture">
            <wp:extent cx="548640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profitability_portfolio_map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2. Real Risk Grade x Profitability Tier Population Map (Notebook 73)</w:t>
      </w:r>
    </w:p>
    <w:p>
      <w:pPr>
        <w:spacing w:after="280"/>
      </w:pPr>
      <w:r>
        <w:t>Darker/redder cells are real, larger-population risk-profitability combinations across 447,695 real mapped customers -- the High Risk / Low Profitability cell is exactly Problem 13's own targeted cross-tier segment. This is the honest analog to a geographic map: the underlying dataset carries no location field, so risk grade x profitability tier is the real two-dimensional population split this platform can support.</w:t>
      </w:r>
    </w:p>
    <w:p>
      <w:pPr>
        <w:pStyle w:val="Heading1"/>
      </w:pPr>
      <w:r>
        <w:t>5. Real Model Health Matrix</w:t>
      </w:r>
    </w:p>
    <w:p>
      <w:r>
        <w:drawing>
          <wp:inline xmlns:a="http://schemas.openxmlformats.org/drawingml/2006/main" xmlns:pic="http://schemas.openxmlformats.org/drawingml/2006/picture">
            <wp:extent cx="5486400" cy="22444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lth_matrix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44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3. Real Model Health Matrix, All 13 Prior Problems (Notebook 73)</w:t>
      </w:r>
    </w:p>
    <w:p>
      <w:pPr>
        <w:spacing w:after="280"/>
      </w:pPr>
      <w:r>
        <w:t>Green = real, current recommended_for_production is True (10 of 13 problems today). Red = real, current recommended_for_production is False (none at present). Gray = foundational/reserve-optimization problems with no production go/no-go flag of this kind -- this single row is what a CRO can scan in seconds instead of opening all 13 problems' own reports.</w:t>
      </w:r>
    </w:p>
    <w:p>
      <w:pPr>
        <w:pStyle w:val="Heading1"/>
      </w:pPr>
      <w:r>
        <w:t>6. Executive Decision-Latency Reduction (This Notebook's Own New Claim)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Reports Consolidated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Review Minutes Before Assumption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Review Minutes Unified Assumption</w:t>
            </w:r>
          </w:p>
        </w:tc>
        <w:tc>
          <w:tcPr>
            <w:tcW w:type="dxa" w:w="4320"/>
          </w:tcPr>
          <w:p>
            <w:r>
              <w:t>45.0</w:t>
            </w:r>
          </w:p>
        </w:tc>
      </w:tr>
      <w:tr>
        <w:tc>
          <w:tcPr>
            <w:tcW w:type="dxa" w:w="4320"/>
          </w:tcPr>
          <w:p>
            <w:r>
              <w:t>Executive Hourly Cost Assumption</w:t>
            </w:r>
          </w:p>
        </w:tc>
        <w:tc>
          <w:tcPr>
            <w:tcW w:type="dxa" w:w="4320"/>
          </w:tcPr>
          <w:p>
            <w:r>
              <w:t>$350</w:t>
            </w:r>
          </w:p>
        </w:tc>
      </w:tr>
      <w:tr>
        <w:tc>
          <w:tcPr>
            <w:tcW w:type="dxa" w:w="4320"/>
          </w:tcPr>
          <w:p>
            <w:r>
              <w:t>Reviewers Per Cycle Assumption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Gross Time Savings Per Cycle</w:t>
            </w:r>
          </w:p>
        </w:tc>
        <w:tc>
          <w:tcPr>
            <w:tcW w:type="dxa" w:w="4320"/>
          </w:tcPr>
          <w:p>
            <w:r>
              <w:t>$3.76K</w:t>
            </w:r>
          </w:p>
        </w:tc>
      </w:tr>
      <w:tr>
        <w:tc>
          <w:tcPr>
            <w:tcW w:type="dxa" w:w="4320"/>
          </w:tcPr>
          <w:p>
            <w:r>
              <w:t>Dashboard Hosting Cost Per Cycle Assumption</w:t>
            </w:r>
          </w:p>
        </w:tc>
        <w:tc>
          <w:tcPr>
            <w:tcW w:type="dxa" w:w="4320"/>
          </w:tcPr>
          <w:p>
            <w:r>
              <w:t>$200</w:t>
            </w:r>
          </w:p>
        </w:tc>
      </w:tr>
      <w:tr>
        <w:tc>
          <w:tcPr>
            <w:tcW w:type="dxa" w:w="4320"/>
          </w:tcPr>
          <w:p>
            <w:r>
              <w:t>Net Benefit Per Cycle</w:t>
            </w:r>
          </w:p>
        </w:tc>
        <w:tc>
          <w:tcPr>
            <w:tcW w:type="dxa" w:w="4320"/>
          </w:tcPr>
          <w:p>
            <w:r>
              <w:t>$3.56K</w:t>
            </w:r>
          </w:p>
        </w:tc>
      </w:tr>
      <w:tr>
        <w:tc>
          <w:tcPr>
            <w:tcW w:type="dxa" w:w="4320"/>
          </w:tcPr>
          <w:p>
            <w:r>
              <w:t>Roi Year 1 Pct</w:t>
            </w:r>
          </w:p>
        </w:tc>
        <w:tc>
          <w:tcPr>
            <w:tcW w:type="dxa" w:w="4320"/>
          </w:tcPr>
          <w:p>
            <w:r>
              <w:t>42.5%</w:t>
            </w:r>
          </w:p>
        </w:tc>
      </w:tr>
      <w:tr>
        <w:tc>
          <w:tcPr>
            <w:tcW w:type="dxa" w:w="4320"/>
          </w:tcPr>
          <w:p>
            <w:r>
              <w:t>Payback Period Months</w:t>
            </w:r>
          </w:p>
        </w:tc>
        <w:tc>
          <w:tcPr>
            <w:tcW w:type="dxa" w:w="4320"/>
          </w:tcPr>
          <w:p>
            <w:r>
              <w:t>8.4 months</w:t>
            </w:r>
          </w:p>
        </w:tc>
      </w:tr>
    </w:tbl>
    <w:p>
      <w:pPr>
        <w:pStyle w:val="Heading1"/>
      </w:pPr>
      <w:r>
        <w:t>7. SMART Suggestions by Organizational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 Level</w:t>
            </w:r>
          </w:p>
        </w:tc>
        <w:tc>
          <w:tcPr>
            <w:tcW w:type="dxa" w:w="4320"/>
          </w:tcPr>
          <w:p>
            <w:r>
              <w:t>Suggestion</w:t>
            </w:r>
          </w:p>
        </w:tc>
      </w:tr>
      <w:tr>
        <w:tc>
          <w:tcPr>
            <w:tcW w:type="dxa" w:w="4320"/>
          </w:tcPr>
          <w:p>
            <w:r>
              <w:t>Data/ML Engineer</w:t>
            </w:r>
          </w:p>
        </w:tc>
        <w:tc>
          <w:tcPr>
            <w:tcW w:type="dxa" w:w="4320"/>
          </w:tcPr>
          <w:p>
            <w:r>
              <w:t>Schedule Notebooks 70-72 to re-run automatically after every one of the 13 upstream problems' own scheduled re-run, so the executive dashboard's $432,132,849/cycle headline is never more than one upstream refresh stale.</w:t>
            </w:r>
          </w:p>
        </w:tc>
      </w:tr>
      <w:tr>
        <w:tc>
          <w:tcPr>
            <w:tcW w:type="dxa" w:w="4320"/>
          </w:tcPr>
          <w:p>
            <w:r>
              <w:t>Risk Analyst</w:t>
            </w:r>
          </w:p>
        </w:tc>
        <w:tc>
          <w:tcPr>
            <w:tcW w:type="dxa" w:w="4320"/>
          </w:tcPr>
          <w:p>
            <w:r>
              <w:t>Use the Problem Registry tab's phase/category filters to spot-check any single problem's real financial_value_usd against that problem's own Financial Impact report before citing the platform total in a memo.</w:t>
            </w:r>
          </w:p>
        </w:tc>
      </w:tr>
      <w:tr>
        <w:tc>
          <w:tcPr>
            <w:tcW w:type="dxa" w:w="4320"/>
          </w:tcPr>
          <w:p>
            <w:r>
              <w:t>Collections/Ops Manager</w:t>
            </w:r>
          </w:p>
        </w:tc>
        <w:tc>
          <w:tcPr>
            <w:tcW w:type="dxa" w:w="4320"/>
          </w:tcPr>
          <w:p>
            <w:r>
              <w:t>Cross-reference the Risk-Profitability Map tab against your team's current worklists -- the real High-Risk/Low-Profitability cell is exactly Problem 13's own targeted cross-tier segment.</w:t>
            </w:r>
          </w:p>
        </w:tc>
      </w:tr>
      <w:tr>
        <w:tc>
          <w:tcPr>
            <w:tcW w:type="dxa" w:w="4320"/>
          </w:tcPr>
          <w:p>
            <w:r>
              <w:t>Head of Model Risk Management</w:t>
            </w:r>
          </w:p>
        </w:tc>
        <w:tc>
          <w:tcPr>
            <w:tcW w:type="dxa" w:w="4320"/>
          </w:tcPr>
          <w:p>
            <w:r>
              <w:t>Treat the 3 excluded problems ([1, 2, 3]) as your MRM committee's standing agenda item: Problems [1, 2] are foundational risk models whose value is realized entirely downstream; and Problem [3] is reserve-optimization gain kept as its own distinct $4,617,593 line. None is currently a held-out-pending-KPI-review case -- re-check this each cycle, since that can change as problems are re-verified.</w:t>
            </w:r>
          </w:p>
        </w:tc>
      </w:tr>
      <w:tr>
        <w:tc>
          <w:tcPr>
            <w:tcW w:type="dxa" w:w="4320"/>
          </w:tcPr>
          <w:p>
            <w:r>
              <w:t>CRO / Head of Risk</w:t>
            </w:r>
          </w:p>
        </w:tc>
        <w:tc>
          <w:tcPr>
            <w:tcW w:type="dxa" w:w="4320"/>
          </w:tcPr>
          <w:p>
            <w:r>
              <w:t>This dashboard is the single artifact for board-level reporting: $432,132,849/cycle in real, non-double-counted platform value across 10 production-recommended systems, plus real portfolio exposure context from Problem 1's Basel/IFRS9 mapping -- reviewed in one sitting instead of 13 separate ones.</w:t>
            </w:r>
          </w:p>
        </w:tc>
      </w:tr>
      <w:tr>
        <w:tc>
          <w:tcPr>
            <w:tcW w:type="dxa" w:w="4320"/>
          </w:tcPr>
          <w:p>
            <w:r>
              <w:t>Board / Audit Committee</w:t>
            </w:r>
          </w:p>
        </w:tc>
        <w:tc>
          <w:tcPr>
            <w:tcW w:type="dxa" w:w="4320"/>
          </w:tcPr>
          <w:p>
            <w:r>
              <w:t>Request the Policy &amp; Validation tab's aggregation_completeness and aggregation_scope_correctness KPI results each quarter -- these two checks are what prove this dashboard's headline number is not double-counted or miscategorized, the exact failure mode board-level financial rollups are most exposed to.</w:t>
            </w:r>
          </w:p>
        </w:tc>
      </w:tr>
    </w:tbl>
    <w:p>
      <w:pPr>
        <w:pStyle w:val="Heading1"/>
      </w:pPr>
      <w:r>
        <w:t>7A. SMART Suggestions by Problem (All 14 Problems)</w:t>
      </w:r>
    </w:p>
    <w:p>
      <w:r>
        <w:t>One real, data-driven suggestion per problem, computed live from this platform's own registry (name, phase, category, production status, financial_value_usd) -- filterable by phase/category/status in the HTML dashboard's own SMART-by-Problem tab.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Problem Number</w:t>
            </w:r>
          </w:p>
        </w:tc>
        <w:tc>
          <w:tcPr>
            <w:tcW w:type="dxa" w:w="1234"/>
          </w:tcPr>
          <w:p>
            <w:r>
              <w:t>Problem Name</w:t>
            </w:r>
          </w:p>
        </w:tc>
        <w:tc>
          <w:tcPr>
            <w:tcW w:type="dxa" w:w="1234"/>
          </w:tcPr>
          <w:p>
            <w:r>
              <w:t>Phase</w:t>
            </w:r>
          </w:p>
        </w:tc>
        <w:tc>
          <w:tcPr>
            <w:tcW w:type="dxa" w:w="1234"/>
          </w:tcPr>
          <w:p>
            <w:r>
              <w:t>Category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Financial Value Per Cycle</w:t>
            </w:r>
          </w:p>
        </w:tc>
        <w:tc>
          <w:tcPr>
            <w:tcW w:type="dxa" w:w="1234"/>
          </w:tcPr>
          <w:p>
            <w:r>
              <w:t>Suggestion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Credit Scoring (Static PD)</w:t>
            </w:r>
          </w:p>
        </w:tc>
        <w:tc>
          <w:tcPr>
            <w:tcW w:type="dxa" w:w="1234"/>
          </w:tcPr>
          <w:p>
            <w:r>
              <w:t>Phase 1 -- Foundation</w:t>
            </w:r>
          </w:p>
        </w:tc>
        <w:tc>
          <w:tcPr>
            <w:tcW w:type="dxa" w:w="1234"/>
          </w:tcPr>
          <w:p>
            <w:r>
              <w:t>foundational_model</w:t>
            </w:r>
          </w:p>
        </w:tc>
        <w:tc>
          <w:tcPr>
            <w:tcW w:type="dxa" w:w="1234"/>
          </w:tcPr>
          <w:p>
            <w:r>
              <w:t>FOUNDATIONAL / 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Foundational model with no standalone financial_value_usd (its value is realized through the 10 downstream problems that depend on it) -- track its own model-health KPIs directly rather than a dollar figure.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Risk Tier Classification</w:t>
            </w:r>
          </w:p>
        </w:tc>
        <w:tc>
          <w:tcPr>
            <w:tcW w:type="dxa" w:w="1234"/>
          </w:tcPr>
          <w:p>
            <w:r>
              <w:t>Phase 1 -- Foundation</w:t>
            </w:r>
          </w:p>
        </w:tc>
        <w:tc>
          <w:tcPr>
            <w:tcW w:type="dxa" w:w="1234"/>
          </w:tcPr>
          <w:p>
            <w:r>
              <w:t>foundational_model</w:t>
            </w:r>
          </w:p>
        </w:tc>
        <w:tc>
          <w:tcPr>
            <w:tcW w:type="dxa" w:w="1234"/>
          </w:tcPr>
          <w:p>
            <w:r>
              <w:t>FOUNDATIONAL / N/A</w:t>
            </w:r>
          </w:p>
        </w:tc>
        <w:tc>
          <w:tcPr>
            <w:tcW w:type="dxa" w:w="1234"/>
          </w:tcPr>
          <w:p>
            <w:r>
              <w:t>N/A</w:t>
            </w:r>
          </w:p>
        </w:tc>
        <w:tc>
          <w:tcPr>
            <w:tcW w:type="dxa" w:w="1234"/>
          </w:tcPr>
          <w:p>
            <w:r>
              <w:t>Foundational model with no standalone financial_value_usd (its value is realized through the 10 downstream problems that depend on it) -- track its own model-health KPIs directly rather than a dollar figure.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Expected Credit Loss (IFRS9/CECL)</w:t>
            </w:r>
          </w:p>
        </w:tc>
        <w:tc>
          <w:tcPr>
            <w:tcW w:type="dxa" w:w="1234"/>
          </w:tcPr>
          <w:p>
            <w:r>
              <w:t>Phase 2 -- Regulatory &amp; Loss Provisioning</w:t>
            </w:r>
          </w:p>
        </w:tc>
        <w:tc>
          <w:tcPr>
            <w:tcW w:type="dxa" w:w="1234"/>
          </w:tcPr>
          <w:p>
            <w:r>
              <w:t>reserve_optimization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$4.62M</w:t>
            </w:r>
          </w:p>
        </w:tc>
        <w:tc>
          <w:tcPr>
            <w:tcW w:type="dxa" w:w="1234"/>
          </w:tcPr>
          <w:p>
            <w:r>
              <w:t>Reserve-optimization system: real value of $4.62M/cycle is kept separate from the platform net-value total by design (capital/reserve benefit, not a P&amp;L cash benefit) -- report it alongside, never summed into, the $432.13M headline.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Delinquency Escalation / Loss Severity</w:t>
            </w:r>
          </w:p>
        </w:tc>
        <w:tc>
          <w:tcPr>
            <w:tcW w:type="dxa" w:w="1234"/>
          </w:tcPr>
          <w:p>
            <w:r>
              <w:t>Phase 2 -- Regulatory &amp; Loss Provisioning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$9.69M</w:t>
            </w:r>
          </w:p>
        </w:tc>
        <w:tc>
          <w:tcPr>
            <w:tcW w:type="dxa" w:w="1234"/>
          </w:tcPr>
          <w:p>
            <w:r>
              <w:t>Production-recommended, contributing $9.69M/cycle (2.2%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Early Payment Default Detection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$4.90M</w:t>
            </w:r>
          </w:p>
        </w:tc>
        <w:tc>
          <w:tcPr>
            <w:tcW w:type="dxa" w:w="1234"/>
          </w:tcPr>
          <w:p>
            <w:r>
              <w:t>Production-recommended, contributing $4.90M/cycle (1.1%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Dynamic / Behavioral Credit Scoring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$8.49M</w:t>
            </w:r>
          </w:p>
        </w:tc>
        <w:tc>
          <w:tcPr>
            <w:tcW w:type="dxa" w:w="1234"/>
          </w:tcPr>
          <w:p>
            <w:r>
              <w:t>Production-recommended, contributing $8.49M/cycle (2.0%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Early Warning System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$2.91M</w:t>
            </w:r>
          </w:p>
        </w:tc>
        <w:tc>
          <w:tcPr>
            <w:tcW w:type="dxa" w:w="1234"/>
          </w:tcPr>
          <w:p>
            <w:r>
              <w:t>Production-recommended, contributing $2.91M/cycle (0.7%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Roll-Rate Modeling</w:t>
            </w:r>
          </w:p>
        </w:tc>
        <w:tc>
          <w:tcPr>
            <w:tcW w:type="dxa" w:w="1234"/>
          </w:tcPr>
          <w:p>
            <w:r>
              <w:t>Phase 3 -- Behavioral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$315.82K</w:t>
            </w:r>
          </w:p>
        </w:tc>
        <w:tc>
          <w:tcPr>
            <w:tcW w:type="dxa" w:w="1234"/>
          </w:tcPr>
          <w:p>
            <w:r>
              <w:t>Production-recommended, contributing $315.82K/cycle (0.1%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Collections Optimization</w:t>
            </w:r>
          </w:p>
        </w:tc>
        <w:tc>
          <w:tcPr>
            <w:tcW w:type="dxa" w:w="1234"/>
          </w:tcPr>
          <w:p>
            <w:r>
              <w:t>Phase 4 -- Operational Risk Management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$341.91M</w:t>
            </w:r>
          </w:p>
        </w:tc>
        <w:tc>
          <w:tcPr>
            <w:tcW w:type="dxa" w:w="1234"/>
          </w:tcPr>
          <w:p>
            <w:r>
              <w:t>Production-recommended, contributing $341.91M/cycle (79.1%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Credit Line Management</w:t>
            </w:r>
          </w:p>
        </w:tc>
        <w:tc>
          <w:tcPr>
            <w:tcW w:type="dxa" w:w="1234"/>
          </w:tcPr>
          <w:p>
            <w:r>
              <w:t>Phase 4 -- Operational Risk Management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$2.21M</w:t>
            </w:r>
          </w:p>
        </w:tc>
        <w:tc>
          <w:tcPr>
            <w:tcW w:type="dxa" w:w="1234"/>
          </w:tcPr>
          <w:p>
            <w:r>
              <w:t>Production-recommended, contributing $2.21M/cycle (0.5%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Real-Time Portfolio Monitoring</w:t>
            </w:r>
          </w:p>
        </w:tc>
        <w:tc>
          <w:tcPr>
            <w:tcW w:type="dxa" w:w="1234"/>
          </w:tcPr>
          <w:p>
            <w:r>
              <w:t>Phase 4 -- Operational Risk Management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$2.37M</w:t>
            </w:r>
          </w:p>
        </w:tc>
        <w:tc>
          <w:tcPr>
            <w:tcW w:type="dxa" w:w="1234"/>
          </w:tcPr>
          <w:p>
            <w:r>
              <w:t>Production-recommended, contributing $2.37M/cycle (0.5%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360 Degree Customer Intelligence</w:t>
            </w:r>
          </w:p>
        </w:tc>
        <w:tc>
          <w:tcPr>
            <w:tcW w:type="dxa" w:w="1234"/>
          </w:tcPr>
          <w:p>
            <w:r>
              <w:t>Phase 5 -- Customer &amp; Business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$1.28M</w:t>
            </w:r>
          </w:p>
        </w:tc>
        <w:tc>
          <w:tcPr>
            <w:tcW w:type="dxa" w:w="1234"/>
          </w:tcPr>
          <w:p>
            <w:r>
              <w:t>Production-recommended, contributing $1.28M/cycle (0.3% of the $432.13M platform total) -- monitor its own re-run cadence so this dashboard's rollup never runs more than one refresh stale on this problem.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Risk-Adjusted Profitability Modeling</w:t>
            </w:r>
          </w:p>
        </w:tc>
        <w:tc>
          <w:tcPr>
            <w:tcW w:type="dxa" w:w="1234"/>
          </w:tcPr>
          <w:p>
            <w:r>
              <w:t>Phase 5 -- Customer &amp; Business Intelligence</w:t>
            </w:r>
          </w:p>
        </w:tc>
        <w:tc>
          <w:tcPr>
            <w:tcW w:type="dxa" w:w="1234"/>
          </w:tcPr>
          <w:p>
            <w:r>
              <w:t>value_creation</w:t>
            </w:r>
          </w:p>
        </w:tc>
        <w:tc>
          <w:tcPr>
            <w:tcW w:type="dxa" w:w="1234"/>
          </w:tcPr>
          <w:p>
            <w:r>
              <w:t>RECOMMENDED</w:t>
            </w:r>
          </w:p>
        </w:tc>
        <w:tc>
          <w:tcPr>
            <w:tcW w:type="dxa" w:w="1234"/>
          </w:tcPr>
          <w:p>
            <w:r>
              <w:t>$58.06M</w:t>
            </w:r>
          </w:p>
        </w:tc>
        <w:tc>
          <w:tcPr>
            <w:tcW w:type="dxa" w:w="1234"/>
          </w:tcPr>
          <w:p>
            <w:r>
              <w:t>Production-recommended, contributing $58.06M/cycle (13.4% of the $432.13M platform total) -- monitor its own re-run cadence so this dashboard's rollup never runs more than one refresh stale on this problem.</w:t>
            </w:r>
          </w:p>
        </w:tc>
      </w:tr>
    </w:tbl>
    <w:p>
      <w:pPr>
        <w:pStyle w:val="Heading1"/>
      </w:pPr>
      <w:r>
        <w:t>8. Assumptions &amp;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Assumption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review_minutes_per_report_separately</w:t>
            </w:r>
          </w:p>
        </w:tc>
        <w:tc>
          <w:tcPr>
            <w:tcW w:type="dxa" w:w="2880"/>
          </w:tcPr>
          <w:p>
            <w:r>
              <w:t>20.0</w:t>
            </w:r>
          </w:p>
        </w:tc>
        <w:tc>
          <w:tcPr>
            <w:tcW w:type="dxa" w:w="2880"/>
          </w:tcPr>
          <w:p>
            <w:r>
              <w:t>ASSUMPTION -- estimated minutes a CRO/head-of-risk (or their team) spends reviewing ONE problem's own report/dashboard/service output before this platform existed. Edit to your institution's real observed review time.</w:t>
            </w:r>
          </w:p>
        </w:tc>
      </w:tr>
      <w:tr>
        <w:tc>
          <w:tcPr>
            <w:tcW w:type="dxa" w:w="2880"/>
          </w:tcPr>
          <w:p>
            <w:r>
              <w:t>review_minutes_unified_dashboard</w:t>
            </w:r>
          </w:p>
        </w:tc>
        <w:tc>
          <w:tcPr>
            <w:tcW w:type="dxa" w:w="2880"/>
          </w:tcPr>
          <w:p>
            <w:r>
              <w:t>45.0</w:t>
            </w:r>
          </w:p>
        </w:tc>
        <w:tc>
          <w:tcPr>
            <w:tcW w:type="dxa" w:w="2880"/>
          </w:tcPr>
          <w:p>
            <w:r>
              <w:t>ASSUMPTION -- estimated minutes to review the single unified executive dashboard covering all 13 problems (this notebook's own deliverable), replacing 13 separate reviews.</w:t>
            </w:r>
          </w:p>
        </w:tc>
      </w:tr>
      <w:tr>
        <w:tc>
          <w:tcPr>
            <w:tcW w:type="dxa" w:w="2880"/>
          </w:tcPr>
          <w:p>
            <w:r>
              <w:t>executive_hourly_cost_usd</w:t>
            </w:r>
          </w:p>
        </w:tc>
        <w:tc>
          <w:tcPr>
            <w:tcW w:type="dxa" w:w="2880"/>
          </w:tcPr>
          <w:p>
            <w:r>
              <w:t>350.0</w:t>
            </w:r>
          </w:p>
        </w:tc>
        <w:tc>
          <w:tcPr>
            <w:tcW w:type="dxa" w:w="2880"/>
          </w:tcPr>
          <w:p>
            <w:r>
              <w:t>ASSUMPTION -- blended fully-loaded hourly cost of the executive(s)/senior-analyst reviewers involved (CRO-tier). Edit to your institution's real comp figures.</w:t>
            </w:r>
          </w:p>
        </w:tc>
      </w:tr>
      <w:tr>
        <w:tc>
          <w:tcPr>
            <w:tcW w:type="dxa" w:w="2880"/>
          </w:tcPr>
          <w:p>
            <w:r>
              <w:t>reviewers_per_cycle</w:t>
            </w:r>
          </w:p>
        </w:tc>
        <w:tc>
          <w:tcPr>
            <w:tcW w:type="dxa" w:w="2880"/>
          </w:tcPr>
          <w:p>
            <w:r>
              <w:t>3.0</w:t>
            </w:r>
          </w:p>
        </w:tc>
        <w:tc>
          <w:tcPr>
            <w:tcW w:type="dxa" w:w="2880"/>
          </w:tcPr>
          <w:p>
            <w:r>
              <w:t>ASSUMPTION -- number of senior stakeholders (e.g. CRO + 2 direct reports) who each separately reviewed the prior 13-report format and now review the unified dashboard instead.</w:t>
            </w:r>
          </w:p>
        </w:tc>
      </w:tr>
      <w:tr>
        <w:tc>
          <w:tcPr>
            <w:tcW w:type="dxa" w:w="2880"/>
          </w:tcPr>
          <w:p>
            <w:r>
              <w:t>dashboard_hosting_cost_usd_per_cycle</w:t>
            </w:r>
          </w:p>
        </w:tc>
        <w:tc>
          <w:tcPr>
            <w:tcW w:type="dxa" w:w="2880"/>
          </w:tcPr>
          <w:p>
            <w:r>
              <w:t>200.0</w:t>
            </w:r>
          </w:p>
        </w:tc>
        <w:tc>
          <w:tcPr>
            <w:tcW w:type="dxa" w:w="2880"/>
          </w:tcPr>
          <w:p>
            <w:r>
              <w:t>ASSUMPTION -- ongoing hosting/maintenance cost for the unified executive dashboard service per cycle, the genuinely new recurring cost this problem introduces (same treatment as Problem 12's ongoing-hosting-cost stream).</w:t>
            </w:r>
          </w:p>
        </w:tc>
      </w:tr>
      <w:tr>
        <w:tc>
          <w:tcPr>
            <w:tcW w:type="dxa" w:w="2880"/>
          </w:tcPr>
          <w:p>
            <w:r>
              <w:t>implementation_cost_usd</w:t>
            </w:r>
          </w:p>
        </w:tc>
        <w:tc>
          <w:tcPr>
            <w:tcW w:type="dxa" w:w="2880"/>
          </w:tcPr>
          <w:p>
            <w:r>
              <w:t>30000.0</w:t>
            </w:r>
          </w:p>
        </w:tc>
        <w:tc>
          <w:tcPr>
            <w:tcW w:type="dxa" w:w="2880"/>
          </w:tcPr>
          <w:p>
            <w:r>
              <w:t>ASSUMPTION -- one-time build/integration cost for the unified executive dashboard (BI aggregation layer, deployed API, reporting pipeline).</w:t>
            </w:r>
          </w:p>
        </w:tc>
      </w:tr>
      <w:tr>
        <w:tc>
          <w:tcPr>
            <w:tcW w:type="dxa" w:w="2880"/>
          </w:tcPr>
          <w:p>
            <w:r>
              <w:t>annual_application_cycles</w:t>
            </w:r>
          </w:p>
        </w:tc>
        <w:tc>
          <w:tcPr>
            <w:tcW w:type="dxa" w:w="2880"/>
          </w:tcPr>
          <w:p>
            <w:r>
              <w:t>12.0</w:t>
            </w:r>
          </w:p>
        </w:tc>
        <w:tc>
          <w:tcPr>
            <w:tcW w:type="dxa" w:w="2880"/>
          </w:tcPr>
          <w:p>
            <w:r>
              <w:t>ASSUMPTION -- monthly executive review cadence, matching this platform's other ongoing-monitoring problems' cadence.</w:t>
            </w:r>
          </w:p>
        </w:tc>
      </w:tr>
    </w:tbl>
    <w:p>
      <w:pPr>
        <w:pStyle w:val="Heading1"/>
      </w:pPr>
      <w:r>
        <w:t>9. Final Recommendation &amp; Platform Status</w:t>
      </w:r>
    </w:p>
    <w:p>
      <w:r>
        <w:t>Overall platform deployment status: RECOMMENDED FOR PRODUCTION (executive dashboard layer). This completes the AMEX Enterprise Credit Risk Platform's full 14-problem, 5-phase build (Notebooks 1-73), code-complete pending the user's own end-to-end run and real-result sync of Notebooks 70-73.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