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AMEX Enterprise Credit Risk Platform</w:t>
      </w:r>
    </w:p>
    <w:p>
      <w:r>
        <w:t>Financial Impact Report &amp; SMART Team Recommendations -- Notebook 14 (Executive Reports)</w:t>
      </w:r>
    </w:p>
    <w:p>
      <w:pPr/>
      <w:r>
        <w:t>Project Portfolio Prepared By Nandagopal R</w:t>
      </w:r>
    </w:p>
    <w:p>
      <w:r>
        <w:t>Generated: 2026-08-23 23:08</w:t>
      </w:r>
    </w:p>
    <w:p>
      <w:r>
        <w:t>IMPORTANT: this report combines two different kinds of numbers. Champion model performance (holdout AUC, AMEX metric, Top-4% capture) and the live portfolio default rate are MEASURED -- computed by this platform's own code from the real Kaggle AMEX data. Every dollar figure (portfolio size, costs, revenue-per-account, staffing) rests on an explicit, stated ASSUMPTION -- the Kaggle dataset contains no real financial data for any institution. This is a worked financial-impact METHODOLOGY with editable inputs, not investment, accounting, or regulatory-capital advice, and not a substitute for your own institution's real financial figures.</w:t>
      </w:r>
    </w:p>
    <w:p>
      <w:pPr>
        <w:pStyle w:val="Heading1"/>
      </w:pPr>
      <w:r>
        <w:t>1. Executive Summary</w:t>
      </w:r>
    </w:p>
    <w:p>
      <w:r>
        <w:t>Deploying the xgboost champion model (measured holdout AMEX metric 0.7936, Top-4% default capture 66.3%) into the stated hypothetical production scenario below is modeled to require $421,000 in one-time investment plus $16,500/month ongoing, reaching payback in 7 months and a 5-year cumulative net benefit of $1,134,573,962 (base scenario; see Section 5 for conservative/optimistic variants).</w:t>
      </w:r>
    </w:p>
    <w:p>
      <w:pPr>
        <w:pStyle w:val="Heading1"/>
      </w:pPr>
      <w:r>
        <w:t>2. Methodology &amp; Assumptions</w:t>
      </w:r>
    </w:p>
    <w:p>
      <w:pPr>
        <w:pStyle w:val="ListBullet"/>
      </w:pPr>
      <w:r>
        <w:t>MEASURED inputs (computed live by this platform's notebooks):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Champion Model</w:t>
            </w:r>
          </w:p>
        </w:tc>
        <w:tc>
          <w:tcPr>
            <w:tcW w:type="dxa" w:w="4320"/>
          </w:tcPr>
          <w:p>
            <w:r>
              <w:t>xgboost</w:t>
            </w:r>
          </w:p>
        </w:tc>
      </w:tr>
      <w:tr>
        <w:tc>
          <w:tcPr>
            <w:tcW w:type="dxa" w:w="4320"/>
          </w:tcPr>
          <w:p>
            <w:r>
              <w:t>Holdout Auc</w:t>
            </w:r>
          </w:p>
        </w:tc>
        <w:tc>
          <w:tcPr>
            <w:tcW w:type="dxa" w:w="4320"/>
          </w:tcPr>
          <w:p>
            <w:r>
              <w:t>0.9620</w:t>
            </w:r>
          </w:p>
        </w:tc>
      </w:tr>
      <w:tr>
        <w:tc>
          <w:tcPr>
            <w:tcW w:type="dxa" w:w="4320"/>
          </w:tcPr>
          <w:p>
            <w:r>
              <w:t>Holdout Amex Metric</w:t>
            </w:r>
          </w:p>
        </w:tc>
        <w:tc>
          <w:tcPr>
            <w:tcW w:type="dxa" w:w="4320"/>
          </w:tcPr>
          <w:p>
            <w:r>
              <w:t>0.7936</w:t>
            </w:r>
          </w:p>
        </w:tc>
      </w:tr>
      <w:tr>
        <w:tc>
          <w:tcPr>
            <w:tcW w:type="dxa" w:w="4320"/>
          </w:tcPr>
          <w:p>
            <w:r>
              <w:t>Holdout Top4Pct Capture</w:t>
            </w:r>
          </w:p>
        </w:tc>
        <w:tc>
          <w:tcPr>
            <w:tcW w:type="dxa" w:w="4320"/>
          </w:tcPr>
          <w:p>
            <w:r>
              <w:t>66.3048%</w:t>
            </w:r>
          </w:p>
        </w:tc>
      </w:tr>
      <w:tr>
        <w:tc>
          <w:tcPr>
            <w:tcW w:type="dxa" w:w="4320"/>
          </w:tcPr>
          <w:p>
            <w:r>
              <w:t>Live Portfolio Default Rate</w:t>
            </w:r>
          </w:p>
        </w:tc>
        <w:tc>
          <w:tcPr>
            <w:tcW w:type="dxa" w:w="4320"/>
          </w:tcPr>
          <w:p>
            <w:r>
              <w:t>25.8934%</w:t>
            </w:r>
          </w:p>
        </w:tc>
      </w:tr>
      <w:tr>
        <w:tc>
          <w:tcPr>
            <w:tcW w:type="dxa" w:w="4320"/>
          </w:tcPr>
          <w:p>
            <w:r>
              <w:t>Measured From</w:t>
            </w:r>
          </w:p>
        </w:tc>
        <w:tc>
          <w:tcPr>
            <w:tcW w:type="dxa" w:w="4320"/>
          </w:tcPr>
          <w:p>
            <w:r>
              <w:t>notebook_05_summary.json; train_labels.csv (this run)</w:t>
            </w:r>
          </w:p>
        </w:tc>
      </w:tr>
    </w:tbl>
    <w:p>
      <w:pPr>
        <w:pStyle w:val="ListBullet"/>
      </w:pPr>
      <w:r>
        <w:t>ASSUMPTION inputs (stated, editable -- Sections 4-5 of the notebook):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Deployment Portfolio Size Accounts</w:t>
            </w:r>
          </w:p>
        </w:tc>
        <w:tc>
          <w:tcPr>
            <w:tcW w:type="dxa" w:w="4320"/>
          </w:tcPr>
          <w:p>
            <w:r>
              <w:t>2,000,000</w:t>
            </w:r>
          </w:p>
        </w:tc>
      </w:tr>
      <w:tr>
        <w:tc>
          <w:tcPr>
            <w:tcW w:type="dxa" w:w="4320"/>
          </w:tcPr>
          <w:p>
            <w:r>
              <w:t>Avg Exposure At Default Usd</w:t>
            </w:r>
          </w:p>
        </w:tc>
        <w:tc>
          <w:tcPr>
            <w:tcW w:type="dxa" w:w="4320"/>
          </w:tcPr>
          <w:p>
            <w:r>
              <w:t>3,500</w:t>
            </w:r>
          </w:p>
        </w:tc>
      </w:tr>
      <w:tr>
        <w:tc>
          <w:tcPr>
            <w:tcW w:type="dxa" w:w="4320"/>
          </w:tcPr>
          <w:p>
            <w:r>
              <w:t>Legacy Model Top4Pct Capture Rate</w:t>
            </w:r>
          </w:p>
        </w:tc>
        <w:tc>
          <w:tcPr>
            <w:tcW w:type="dxa" w:w="4320"/>
          </w:tcPr>
          <w:p>
            <w:r>
              <w:t>25.00%</w:t>
            </w:r>
          </w:p>
        </w:tc>
      </w:tr>
      <w:tr>
        <w:tc>
          <w:tcPr>
            <w:tcW w:type="dxa" w:w="4320"/>
          </w:tcPr>
          <w:p>
            <w:r>
              <w:t>Collections Intervention Success Rate</w:t>
            </w:r>
          </w:p>
        </w:tc>
        <w:tc>
          <w:tcPr>
            <w:tcW w:type="dxa" w:w="4320"/>
          </w:tcPr>
          <w:p>
            <w:r>
              <w:t>35.00%</w:t>
            </w:r>
          </w:p>
        </w:tc>
      </w:tr>
      <w:tr>
        <w:tc>
          <w:tcPr>
            <w:tcW w:type="dxa" w:w="4320"/>
          </w:tcPr>
          <w:p>
            <w:r>
              <w:t>New Applicants Per Year</w:t>
            </w:r>
          </w:p>
        </w:tc>
        <w:tc>
          <w:tcPr>
            <w:tcW w:type="dxa" w:w="4320"/>
          </w:tcPr>
          <w:p>
            <w:r>
              <w:t>400,000</w:t>
            </w:r>
          </w:p>
        </w:tc>
      </w:tr>
      <w:tr>
        <w:tc>
          <w:tcPr>
            <w:tcW w:type="dxa" w:w="4320"/>
          </w:tcPr>
          <w:p>
            <w:r>
              <w:t>Incremental Approval Rate</w:t>
            </w:r>
          </w:p>
        </w:tc>
        <w:tc>
          <w:tcPr>
            <w:tcW w:type="dxa" w:w="4320"/>
          </w:tcPr>
          <w:p>
            <w:r>
              <w:t>3.00%</w:t>
            </w:r>
          </w:p>
        </w:tc>
      </w:tr>
      <w:tr>
        <w:tc>
          <w:tcPr>
            <w:tcW w:type="dxa" w:w="4320"/>
          </w:tcPr>
          <w:p>
            <w:r>
              <w:t>Avg Annual Net Interest Margin Per Account Usd</w:t>
            </w:r>
          </w:p>
        </w:tc>
        <w:tc>
          <w:tcPr>
            <w:tcW w:type="dxa" w:w="4320"/>
          </w:tcPr>
          <w:p>
            <w:r>
              <w:t>220</w:t>
            </w:r>
          </w:p>
        </w:tc>
      </w:tr>
    </w:tbl>
    <w:p>
      <w:pPr>
        <w:pStyle w:val="Heading1"/>
      </w:pPr>
      <w:r>
        <w:t>3. Investment Breakdown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4320"/>
          </w:tcPr>
          <w:p>
            <w:r>
              <w:t>Amount (USD)</w:t>
            </w:r>
          </w:p>
        </w:tc>
      </w:tr>
      <w:tr>
        <w:tc>
          <w:tcPr>
            <w:tcW w:type="dxa" w:w="4320"/>
          </w:tcPr>
          <w:p>
            <w:r>
              <w:t>Data Science / ML Engineering (4 FTE x 4 months)</w:t>
            </w:r>
          </w:p>
        </w:tc>
        <w:tc>
          <w:tcPr>
            <w:tcW w:type="dxa" w:w="4320"/>
          </w:tcPr>
          <w:p>
            <w:r>
              <w:t>$224,000</w:t>
            </w:r>
          </w:p>
        </w:tc>
      </w:tr>
      <w:tr>
        <w:tc>
          <w:tcPr>
            <w:tcW w:type="dxa" w:w="4320"/>
          </w:tcPr>
          <w:p>
            <w:r>
              <w:t>Independent Model Risk Validation (1 FTE x 6 weeks)</w:t>
            </w:r>
          </w:p>
        </w:tc>
        <w:tc>
          <w:tcPr>
            <w:tcW w:type="dxa" w:w="4320"/>
          </w:tcPr>
          <w:p>
            <w:r>
              <w:t>$24,000</w:t>
            </w:r>
          </w:p>
        </w:tc>
      </w:tr>
      <w:tr>
        <w:tc>
          <w:tcPr>
            <w:tcW w:type="dxa" w:w="4320"/>
          </w:tcPr>
          <w:p>
            <w:r>
              <w:t>Compliance &amp; Legal Review (Basel/IFRS9, fair-lending sign-off)</w:t>
            </w:r>
          </w:p>
        </w:tc>
        <w:tc>
          <w:tcPr>
            <w:tcW w:type="dxa" w:w="4320"/>
          </w:tcPr>
          <w:p>
            <w:r>
              <w:t>$40,000</w:t>
            </w:r>
          </w:p>
        </w:tc>
      </w:tr>
      <w:tr>
        <w:tc>
          <w:tcPr>
            <w:tcW w:type="dxa" w:w="4320"/>
          </w:tcPr>
          <w:p>
            <w:r>
              <w:t>MLOps / Platform Engineering (2 FTE x 3 months)</w:t>
            </w:r>
          </w:p>
        </w:tc>
        <w:tc>
          <w:tcPr>
            <w:tcW w:type="dxa" w:w="4320"/>
          </w:tcPr>
          <w:p>
            <w:r>
              <w:t>$78,000</w:t>
            </w:r>
          </w:p>
        </w:tc>
      </w:tr>
      <w:tr>
        <w:tc>
          <w:tcPr>
            <w:tcW w:type="dxa" w:w="4320"/>
          </w:tcPr>
          <w:p>
            <w:r>
              <w:t>Change Management &amp; Staff Retraining</w:t>
            </w:r>
          </w:p>
        </w:tc>
        <w:tc>
          <w:tcPr>
            <w:tcW w:type="dxa" w:w="4320"/>
          </w:tcPr>
          <w:p>
            <w:r>
              <w:t>$30,000</w:t>
            </w:r>
          </w:p>
        </w:tc>
      </w:tr>
      <w:tr>
        <w:tc>
          <w:tcPr>
            <w:tcW w:type="dxa" w:w="4320"/>
          </w:tcPr>
          <w:p>
            <w:r>
              <w:t>Cloud Infrastructure Setup &amp; Initial Compute</w:t>
            </w:r>
          </w:p>
        </w:tc>
        <w:tc>
          <w:tcPr>
            <w:tcW w:type="dxa" w:w="4320"/>
          </w:tcPr>
          <w:p>
            <w:r>
              <w:t>$25,000</w:t>
            </w:r>
          </w:p>
        </w:tc>
      </w:tr>
    </w:tbl>
    <w:p>
      <w:r>
        <w:t>Total one-time investment: $421,000</w:t>
      </w:r>
    </w:p>
    <w:p>
      <w:r>
        <w:t>Total monthly recurring cost post go-live: $16,500/month</w:t>
      </w:r>
    </w:p>
    <w:p>
      <w:r>
        <w:drawing>
          <wp:inline xmlns:a="http://schemas.openxmlformats.org/drawingml/2006/main" xmlns:pic="http://schemas.openxmlformats.org/drawingml/2006/picture">
            <wp:extent cx="5486400" cy="304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nancial_investment_breakdown_cha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4. Financial Projections (Base Scenario)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Horizon</w:t>
            </w:r>
          </w:p>
        </w:tc>
        <w:tc>
          <w:tcPr>
            <w:tcW w:type="dxa" w:w="1728"/>
          </w:tcPr>
          <w:p>
            <w:r>
              <w:t>Cumulative Cost</w:t>
            </w:r>
          </w:p>
        </w:tc>
        <w:tc>
          <w:tcPr>
            <w:tcW w:type="dxa" w:w="1728"/>
          </w:tcPr>
          <w:p>
            <w:r>
              <w:t>Cumulative Benefit</w:t>
            </w:r>
          </w:p>
        </w:tc>
        <w:tc>
          <w:tcPr>
            <w:tcW w:type="dxa" w:w="1728"/>
          </w:tcPr>
          <w:p>
            <w:r>
              <w:t>Cumulative Net</w:t>
            </w:r>
          </w:p>
        </w:tc>
        <w:tc>
          <w:tcPr>
            <w:tcW w:type="dxa" w:w="1728"/>
          </w:tcPr>
          <w:p>
            <w:r>
              <w:t>ROI %</w:t>
            </w:r>
          </w:p>
        </w:tc>
      </w:tr>
      <w:tr>
        <w:tc>
          <w:tcPr>
            <w:tcW w:type="dxa" w:w="1728"/>
          </w:tcPr>
          <w:p>
            <w:r>
              <w:t>1 Month</w:t>
            </w:r>
          </w:p>
        </w:tc>
        <w:tc>
          <w:tcPr>
            <w:tcW w:type="dxa" w:w="1728"/>
          </w:tcPr>
          <w:p>
            <w:r>
              <w:t>$70,167</w:t>
            </w:r>
          </w:p>
        </w:tc>
        <w:tc>
          <w:tcPr>
            <w:tcW w:type="dxa" w:w="1728"/>
          </w:tcPr>
          <w:p>
            <w:r>
              <w:t>$0</w:t>
            </w:r>
          </w:p>
        </w:tc>
        <w:tc>
          <w:tcPr>
            <w:tcW w:type="dxa" w:w="1728"/>
          </w:tcPr>
          <w:p>
            <w:r>
              <w:t>$-70,167</w:t>
            </w:r>
          </w:p>
        </w:tc>
        <w:tc>
          <w:tcPr>
            <w:tcW w:type="dxa" w:w="1728"/>
          </w:tcPr>
          <w:p>
            <w:r>
              <w:t>-100%</w:t>
            </w:r>
          </w:p>
        </w:tc>
      </w:tr>
      <w:tr>
        <w:tc>
          <w:tcPr>
            <w:tcW w:type="dxa" w:w="1728"/>
          </w:tcPr>
          <w:p>
            <w:r>
              <w:t>3 Months</w:t>
            </w:r>
          </w:p>
        </w:tc>
        <w:tc>
          <w:tcPr>
            <w:tcW w:type="dxa" w:w="1728"/>
          </w:tcPr>
          <w:p>
            <w:r>
              <w:t>$210,500</w:t>
            </w:r>
          </w:p>
        </w:tc>
        <w:tc>
          <w:tcPr>
            <w:tcW w:type="dxa" w:w="1728"/>
          </w:tcPr>
          <w:p>
            <w:r>
              <w:t>$0</w:t>
            </w:r>
          </w:p>
        </w:tc>
        <w:tc>
          <w:tcPr>
            <w:tcW w:type="dxa" w:w="1728"/>
          </w:tcPr>
          <w:p>
            <w:r>
              <w:t>$-210,500</w:t>
            </w:r>
          </w:p>
        </w:tc>
        <w:tc>
          <w:tcPr>
            <w:tcW w:type="dxa" w:w="1728"/>
          </w:tcPr>
          <w:p>
            <w:r>
              <w:t>-100%</w:t>
            </w:r>
          </w:p>
        </w:tc>
      </w:tr>
      <w:tr>
        <w:tc>
          <w:tcPr>
            <w:tcW w:type="dxa" w:w="1728"/>
          </w:tcPr>
          <w:p>
            <w:r>
              <w:t>6 Months</w:t>
            </w:r>
          </w:p>
        </w:tc>
        <w:tc>
          <w:tcPr>
            <w:tcW w:type="dxa" w:w="1728"/>
          </w:tcPr>
          <w:p>
            <w:r>
              <w:t>$421,000</w:t>
            </w:r>
          </w:p>
        </w:tc>
        <w:tc>
          <w:tcPr>
            <w:tcW w:type="dxa" w:w="1728"/>
          </w:tcPr>
          <w:p>
            <w:r>
              <w:t>$0</w:t>
            </w:r>
          </w:p>
        </w:tc>
        <w:tc>
          <w:tcPr>
            <w:tcW w:type="dxa" w:w="1728"/>
          </w:tcPr>
          <w:p>
            <w:r>
              <w:t>$-421,000</w:t>
            </w:r>
          </w:p>
        </w:tc>
        <w:tc>
          <w:tcPr>
            <w:tcW w:type="dxa" w:w="1728"/>
          </w:tcPr>
          <w:p>
            <w:r>
              <w:t>-100%</w:t>
            </w:r>
          </w:p>
        </w:tc>
      </w:tr>
      <w:tr>
        <w:tc>
          <w:tcPr>
            <w:tcW w:type="dxa" w:w="1728"/>
          </w:tcPr>
          <w:p>
            <w:r>
              <w:t>1 Year</w:t>
            </w:r>
          </w:p>
        </w:tc>
        <w:tc>
          <w:tcPr>
            <w:tcW w:type="dxa" w:w="1728"/>
          </w:tcPr>
          <w:p>
            <w:r>
              <w:t>$520,000</w:t>
            </w:r>
          </w:p>
        </w:tc>
        <w:tc>
          <w:tcPr>
            <w:tcW w:type="dxa" w:w="1728"/>
          </w:tcPr>
          <w:p>
            <w:r>
              <w:t>$77,196,133</w:t>
            </w:r>
          </w:p>
        </w:tc>
        <w:tc>
          <w:tcPr>
            <w:tcW w:type="dxa" w:w="1728"/>
          </w:tcPr>
          <w:p>
            <w:r>
              <w:t>$76,676,133</w:t>
            </w:r>
          </w:p>
        </w:tc>
        <w:tc>
          <w:tcPr>
            <w:tcW w:type="dxa" w:w="1728"/>
          </w:tcPr>
          <w:p>
            <w:r>
              <w:t>14745%</w:t>
            </w:r>
          </w:p>
        </w:tc>
      </w:tr>
      <w:tr>
        <w:tc>
          <w:tcPr>
            <w:tcW w:type="dxa" w:w="1728"/>
          </w:tcPr>
          <w:p>
            <w:r>
              <w:t>2 Years</w:t>
            </w:r>
          </w:p>
        </w:tc>
        <w:tc>
          <w:tcPr>
            <w:tcW w:type="dxa" w:w="1728"/>
          </w:tcPr>
          <w:p>
            <w:r>
              <w:t>$718,000</w:t>
            </w:r>
          </w:p>
        </w:tc>
        <w:tc>
          <w:tcPr>
            <w:tcW w:type="dxa" w:w="1728"/>
          </w:tcPr>
          <w:p>
            <w:r>
              <w:t>$341,868,591</w:t>
            </w:r>
          </w:p>
        </w:tc>
        <w:tc>
          <w:tcPr>
            <w:tcW w:type="dxa" w:w="1728"/>
          </w:tcPr>
          <w:p>
            <w:r>
              <w:t>$341,150,591</w:t>
            </w:r>
          </w:p>
        </w:tc>
        <w:tc>
          <w:tcPr>
            <w:tcW w:type="dxa" w:w="1728"/>
          </w:tcPr>
          <w:p>
            <w:r>
              <w:t>47514%</w:t>
            </w:r>
          </w:p>
        </w:tc>
      </w:tr>
      <w:tr>
        <w:tc>
          <w:tcPr>
            <w:tcW w:type="dxa" w:w="1728"/>
          </w:tcPr>
          <w:p>
            <w:r>
              <w:t>3 Years</w:t>
            </w:r>
          </w:p>
        </w:tc>
        <w:tc>
          <w:tcPr>
            <w:tcW w:type="dxa" w:w="1728"/>
          </w:tcPr>
          <w:p>
            <w:r>
              <w:t>$916,000</w:t>
            </w:r>
          </w:p>
        </w:tc>
        <w:tc>
          <w:tcPr>
            <w:tcW w:type="dxa" w:w="1728"/>
          </w:tcPr>
          <w:p>
            <w:r>
              <w:t>$606,541,048</w:t>
            </w:r>
          </w:p>
        </w:tc>
        <w:tc>
          <w:tcPr>
            <w:tcW w:type="dxa" w:w="1728"/>
          </w:tcPr>
          <w:p>
            <w:r>
              <w:t>$605,625,048</w:t>
            </w:r>
          </w:p>
        </w:tc>
        <w:tc>
          <w:tcPr>
            <w:tcW w:type="dxa" w:w="1728"/>
          </w:tcPr>
          <w:p>
            <w:r>
              <w:t>66116%</w:t>
            </w:r>
          </w:p>
        </w:tc>
      </w:tr>
      <w:tr>
        <w:tc>
          <w:tcPr>
            <w:tcW w:type="dxa" w:w="1728"/>
          </w:tcPr>
          <w:p>
            <w:r>
              <w:t>5 Years</w:t>
            </w:r>
          </w:p>
        </w:tc>
        <w:tc>
          <w:tcPr>
            <w:tcW w:type="dxa" w:w="1728"/>
          </w:tcPr>
          <w:p>
            <w:r>
              <w:t>$1,312,000</w:t>
            </w:r>
          </w:p>
        </w:tc>
        <w:tc>
          <w:tcPr>
            <w:tcW w:type="dxa" w:w="1728"/>
          </w:tcPr>
          <w:p>
            <w:r>
              <w:t>$1,135,885,962</w:t>
            </w:r>
          </w:p>
        </w:tc>
        <w:tc>
          <w:tcPr>
            <w:tcW w:type="dxa" w:w="1728"/>
          </w:tcPr>
          <w:p>
            <w:r>
              <w:t>$1,134,573,962</w:t>
            </w:r>
          </w:p>
        </w:tc>
        <w:tc>
          <w:tcPr>
            <w:tcW w:type="dxa" w:w="1728"/>
          </w:tcPr>
          <w:p>
            <w:r>
              <w:t>86477%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486400" cy="3352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nancial_cumulative_net_benefit_char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5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7719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nancial_roi_by_horizon_char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7719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nancial_annual_benefit_breakdown_char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5. Scenario Comparison (Conservative / Base / Optimistic)</w:t>
      </w:r>
    </w:p>
    <w:p>
      <w:r>
        <w:t>Scenarios scale the BENEFIT side only (conservative x0.7, base x1.0, optimistic x1.3) -- costs are held fixed across scenarios since they represent up-front staffing/infrastructure commitments, not outcomes that vary with deployment performance.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Scenario</w:t>
            </w:r>
          </w:p>
        </w:tc>
        <w:tc>
          <w:tcPr>
            <w:tcW w:type="dxa" w:w="2160"/>
          </w:tcPr>
          <w:p>
            <w:r>
              <w:t>5-Year Net Benefit</w:t>
            </w:r>
          </w:p>
        </w:tc>
        <w:tc>
          <w:tcPr>
            <w:tcW w:type="dxa" w:w="2160"/>
          </w:tcPr>
          <w:p>
            <w:r>
              <w:t>5-Year ROI %</w:t>
            </w:r>
          </w:p>
        </w:tc>
        <w:tc>
          <w:tcPr>
            <w:tcW w:type="dxa" w:w="2160"/>
          </w:tcPr>
          <w:p>
            <w:r>
              <w:t>Payback (months)</w:t>
            </w:r>
          </w:p>
        </w:tc>
      </w:tr>
      <w:tr>
        <w:tc>
          <w:tcPr>
            <w:tcW w:type="dxa" w:w="2160"/>
          </w:tcPr>
          <w:p>
            <w:r>
              <w:t>Conservative</w:t>
            </w:r>
          </w:p>
        </w:tc>
        <w:tc>
          <w:tcPr>
            <w:tcW w:type="dxa" w:w="2160"/>
          </w:tcPr>
          <w:p>
            <w:r>
              <w:t>$793,808,174</w:t>
            </w:r>
          </w:p>
        </w:tc>
        <w:tc>
          <w:tcPr>
            <w:tcW w:type="dxa" w:w="2160"/>
          </w:tcPr>
          <w:p>
            <w:r>
              <w:t>60504%</w:t>
            </w:r>
          </w:p>
        </w:tc>
        <w:tc>
          <w:tcPr>
            <w:tcW w:type="dxa" w:w="2160"/>
          </w:tcPr>
          <w:p>
            <w:r>
              <w:t>7</w:t>
            </w:r>
          </w:p>
        </w:tc>
      </w:tr>
      <w:tr>
        <w:tc>
          <w:tcPr>
            <w:tcW w:type="dxa" w:w="2160"/>
          </w:tcPr>
          <w:p>
            <w:r>
              <w:t>Base</w:t>
            </w:r>
          </w:p>
        </w:tc>
        <w:tc>
          <w:tcPr>
            <w:tcW w:type="dxa" w:w="2160"/>
          </w:tcPr>
          <w:p>
            <w:r>
              <w:t>$1,134,573,962</w:t>
            </w:r>
          </w:p>
        </w:tc>
        <w:tc>
          <w:tcPr>
            <w:tcW w:type="dxa" w:w="2160"/>
          </w:tcPr>
          <w:p>
            <w:r>
              <w:t>86477%</w:t>
            </w:r>
          </w:p>
        </w:tc>
        <w:tc>
          <w:tcPr>
            <w:tcW w:type="dxa" w:w="2160"/>
          </w:tcPr>
          <w:p>
            <w:r>
              <w:t>7</w:t>
            </w:r>
          </w:p>
        </w:tc>
      </w:tr>
      <w:tr>
        <w:tc>
          <w:tcPr>
            <w:tcW w:type="dxa" w:w="2160"/>
          </w:tcPr>
          <w:p>
            <w:r>
              <w:t>Optimistic</w:t>
            </w:r>
          </w:p>
        </w:tc>
        <w:tc>
          <w:tcPr>
            <w:tcW w:type="dxa" w:w="2160"/>
          </w:tcPr>
          <w:p>
            <w:r>
              <w:t>$1,475,339,751</w:t>
            </w:r>
          </w:p>
        </w:tc>
        <w:tc>
          <w:tcPr>
            <w:tcW w:type="dxa" w:w="2160"/>
          </w:tcPr>
          <w:p>
            <w:r>
              <w:t>112450%</w:t>
            </w:r>
          </w:p>
        </w:tc>
        <w:tc>
          <w:tcPr>
            <w:tcW w:type="dxa" w:w="2160"/>
          </w:tcPr>
          <w:p>
            <w:r>
              <w:t>7</w:t>
            </w:r>
          </w:p>
        </w:tc>
      </w:tr>
    </w:tbl>
    <w:p>
      <w:pPr>
        <w:pStyle w:val="Heading1"/>
      </w:pPr>
      <w:r>
        <w:t>6. Model Performance Basis (Measured)</w:t>
      </w:r>
    </w:p>
    <w:p>
      <w:r>
        <w:drawing>
          <wp:inline xmlns:a="http://schemas.openxmlformats.org/drawingml/2006/main" xmlns:pic="http://schemas.openxmlformats.org/drawingml/2006/picture">
            <wp:extent cx="5029200" cy="425547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nancial_capture_rate_comparison_char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255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The financial case's loss-avoidance component depends on the measured improvement in Top-4% default capture over the assumed legacy baseline: +41.30% percentage points.</w:t>
      </w:r>
    </w:p>
    <w:p>
      <w:pPr>
        <w:pStyle w:val="Heading1"/>
      </w:pPr>
      <w:r>
        <w:t>7. Implementation Timeline</w:t>
      </w:r>
    </w:p>
    <w:p>
      <w:r>
        <w:drawing>
          <wp:inline xmlns:a="http://schemas.openxmlformats.org/drawingml/2006/main" xmlns:pic="http://schemas.openxmlformats.org/drawingml/2006/picture">
            <wp:extent cx="5486400" cy="3048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nancial_implementation_timeline_char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8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Phase</w:t>
            </w:r>
          </w:p>
        </w:tc>
        <w:tc>
          <w:tcPr>
            <w:tcW w:type="dxa" w:w="2880"/>
          </w:tcPr>
          <w:p>
            <w:r>
              <w:t>Start Week</w:t>
            </w:r>
          </w:p>
        </w:tc>
        <w:tc>
          <w:tcPr>
            <w:tcW w:type="dxa" w:w="2880"/>
          </w:tcPr>
          <w:p>
            <w:r>
              <w:t>Duration (weeks)</w:t>
            </w:r>
          </w:p>
        </w:tc>
      </w:tr>
      <w:tr>
        <w:tc>
          <w:tcPr>
            <w:tcW w:type="dxa" w:w="2880"/>
          </w:tcPr>
          <w:p>
            <w:r>
              <w:t>1. Discovery &amp; Scoping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t>2. Data Engineering Hardening (productionize Notebooks 02/04 pipelines)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  <w:tr>
        <w:tc>
          <w:tcPr>
            <w:tcW w:type="dxa" w:w="2880"/>
          </w:tcPr>
          <w:p>
            <w:r>
              <w:t>3. Model Finalization &amp; Sign-off (Notebook 05)</w:t>
            </w:r>
          </w:p>
        </w:tc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t>4. Model Risk Validation &amp; Compliance Review (Notebooks 07/08)</w:t>
            </w:r>
          </w:p>
        </w:tc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t>5. MLOps Build-Out &amp; Deployment (Notebooks 09-11)</w:t>
            </w:r>
          </w:p>
        </w:tc>
        <w:tc>
          <w:tcPr>
            <w:tcW w:type="dxa" w:w="2880"/>
          </w:tcPr>
          <w:p>
            <w:r>
              <w:t>11</w:t>
            </w:r>
          </w:p>
        </w:tc>
        <w:tc>
          <w:tcPr>
            <w:tcW w:type="dxa" w:w="2880"/>
          </w:tcPr>
          <w:p>
            <w:r>
              <w:t>5</w:t>
            </w:r>
          </w:p>
        </w:tc>
      </w:tr>
      <w:tr>
        <w:tc>
          <w:tcPr>
            <w:tcW w:type="dxa" w:w="2880"/>
          </w:tcPr>
          <w:p>
            <w:r>
              <w:t>6. UAT &amp; Shadow-Mode Parallel Run</w:t>
            </w:r>
          </w:p>
        </w:tc>
        <w:tc>
          <w:tcPr>
            <w:tcW w:type="dxa" w:w="2880"/>
          </w:tcPr>
          <w:p>
            <w:r>
              <w:t>16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t>7. Go-Live &amp; Hypercare</w:t>
            </w:r>
          </w:p>
        </w:tc>
        <w:tc>
          <w:tcPr>
            <w:tcW w:type="dxa" w:w="2880"/>
          </w:tcPr>
          <w:p>
            <w:r>
              <w:t>20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</w:tbl>
    <w:p>
      <w:r>
        <w:t>Total implementation duration: 22 weeks (~5.1 months)</w:t>
      </w:r>
    </w:p>
    <w:p>
      <w:pPr>
        <w:pStyle w:val="Heading1"/>
      </w:pPr>
      <w:r>
        <w:t>8. Ongoing Monitoring Cost</w:t>
      </w:r>
    </w:p>
    <w:p>
      <w:r>
        <w:t>$16,500/month post go-live, covering cloud hosting/inference, MRM oversight, and amortized quarterly retraining (breakdown in Section 5's monthly recurring cost table).</w:t>
      </w:r>
    </w:p>
    <w:p>
      <w:pPr>
        <w:pStyle w:val="Heading1"/>
      </w:pPr>
      <w:r>
        <w:t>9. SMART Recommendations by Team</w:t>
      </w:r>
    </w:p>
    <w:p>
      <w:pPr>
        <w:pStyle w:val="Heading2"/>
      </w:pPr>
      <w:r>
        <w:t>Executive Leadership / CRO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Specific</w:t>
            </w:r>
          </w:p>
        </w:tc>
        <w:tc>
          <w:tcPr>
            <w:tcW w:type="dxa" w:w="4320"/>
          </w:tcPr>
          <w:p>
            <w:r>
              <w:t>Approve production deployment funding based on the modeled 5-year net benefit.</w:t>
            </w:r>
          </w:p>
        </w:tc>
      </w:tr>
      <w:tr>
        <w:tc>
          <w:tcPr>
            <w:tcW w:type="dxa" w:w="4320"/>
          </w:tcPr>
          <w:p>
            <w:r>
              <w:t>Measurable</w:t>
            </w:r>
          </w:p>
        </w:tc>
        <w:tc>
          <w:tcPr>
            <w:tcW w:type="dxa" w:w="4320"/>
          </w:tcPr>
          <w:p>
            <w:r>
              <w:t>5-year cumulative net benefit $1,134,573,962, ROI 86477%, payback in 7 months (base scenario).</w:t>
            </w:r>
          </w:p>
        </w:tc>
      </w:tr>
      <w:tr>
        <w:tc>
          <w:tcPr>
            <w:tcW w:type="dxa" w:w="4320"/>
          </w:tcPr>
          <w:p>
            <w:r>
              <w:t>Achievable</w:t>
            </w:r>
          </w:p>
        </w:tc>
        <w:tc>
          <w:tcPr>
            <w:tcW w:type="dxa" w:w="4320"/>
          </w:tcPr>
          <w:p>
            <w:r>
              <w:t>Champion model measured holdout AMEX metric 0.7936, a real, validated result from Notebook 05.</w:t>
            </w:r>
          </w:p>
        </w:tc>
      </w:tr>
      <w:tr>
        <w:tc>
          <w:tcPr>
            <w:tcW w:type="dxa" w:w="4320"/>
          </w:tcPr>
          <w:p>
            <w:r>
              <w:t>Relevant</w:t>
            </w:r>
          </w:p>
        </w:tc>
        <w:tc>
          <w:tcPr>
            <w:tcW w:type="dxa" w:w="4320"/>
          </w:tcPr>
          <w:p>
            <w:r>
              <w:t>Portfolio-wide default exposure and capital adequacy are the CRO's direct mandate.</w:t>
            </w:r>
          </w:p>
        </w:tc>
      </w:tr>
      <w:tr>
        <w:tc>
          <w:tcPr>
            <w:tcW w:type="dxa" w:w="4320"/>
          </w:tcPr>
          <w:p>
            <w:r>
              <w:t>Time Bound</w:t>
            </w:r>
          </w:p>
        </w:tc>
        <w:tc>
          <w:tcPr>
            <w:tcW w:type="dxa" w:w="4320"/>
          </w:tcPr>
          <w:p>
            <w:r>
              <w:t>Funding decision within 1 sprint of this report; re-review assumptions annually.</w:t>
            </w:r>
          </w:p>
        </w:tc>
      </w:tr>
    </w:tbl>
    <w:p>
      <w:pPr>
        <w:pStyle w:val="Heading2"/>
      </w:pPr>
      <w:r>
        <w:t>Head of Credit Risk / Underwriting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Specific</w:t>
            </w:r>
          </w:p>
        </w:tc>
        <w:tc>
          <w:tcPr>
            <w:tcW w:type="dxa" w:w="4320"/>
          </w:tcPr>
          <w:p>
            <w:r>
              <w:t>Replace the legacy scorecard's top-4% flagging logic with the new champion model's output.</w:t>
            </w:r>
          </w:p>
        </w:tc>
      </w:tr>
      <w:tr>
        <w:tc>
          <w:tcPr>
            <w:tcW w:type="dxa" w:w="4320"/>
          </w:tcPr>
          <w:p>
            <w:r>
              <w:t>Measurable</w:t>
            </w:r>
          </w:p>
        </w:tc>
        <w:tc>
          <w:tcPr>
            <w:tcW w:type="dxa" w:w="4320"/>
          </w:tcPr>
          <w:p>
            <w:r>
              <w:t>Measured Top-4% default capture improves from an assumed 25% (legacy) to 66.3% (new model, measured).</w:t>
            </w:r>
          </w:p>
        </w:tc>
      </w:tr>
      <w:tr>
        <w:tc>
          <w:tcPr>
            <w:tcW w:type="dxa" w:w="4320"/>
          </w:tcPr>
          <w:p>
            <w:r>
              <w:t>Achievable</w:t>
            </w:r>
          </w:p>
        </w:tc>
        <w:tc>
          <w:tcPr>
            <w:tcW w:type="dxa" w:w="4320"/>
          </w:tcPr>
          <w:p>
            <w:r>
              <w:t>No new data collection required -- Notebook 05's model scores directly on the existing feature store.</w:t>
            </w:r>
          </w:p>
        </w:tc>
      </w:tr>
      <w:tr>
        <w:tc>
          <w:tcPr>
            <w:tcW w:type="dxa" w:w="4320"/>
          </w:tcPr>
          <w:p>
            <w:r>
              <w:t>Relevant</w:t>
            </w:r>
          </w:p>
        </w:tc>
        <w:tc>
          <w:tcPr>
            <w:tcW w:type="dxa" w:w="4320"/>
          </w:tcPr>
          <w:p>
            <w:r>
              <w:t>Directly drives the loss-avoided component of the financial case.</w:t>
            </w:r>
          </w:p>
        </w:tc>
      </w:tr>
      <w:tr>
        <w:tc>
          <w:tcPr>
            <w:tcW w:type="dxa" w:w="4320"/>
          </w:tcPr>
          <w:p>
            <w:r>
              <w:t>Time Bound</w:t>
            </w:r>
          </w:p>
        </w:tc>
        <w:tc>
          <w:tcPr>
            <w:tcW w:type="dxa" w:w="4320"/>
          </w:tcPr>
          <w:p>
            <w:r>
              <w:t>Cutover during Phase 5-6 of the implementation plan (weeks 11-20).</w:t>
            </w:r>
          </w:p>
        </w:tc>
      </w:tr>
    </w:tbl>
    <w:p>
      <w:pPr>
        <w:pStyle w:val="Heading2"/>
      </w:pPr>
      <w:r>
        <w:t>Model Risk Management / Independent Validation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Specific</w:t>
            </w:r>
          </w:p>
        </w:tc>
        <w:tc>
          <w:tcPr>
            <w:tcW w:type="dxa" w:w="4320"/>
          </w:tcPr>
          <w:p>
            <w:r>
              <w:t>Complete (or re-confirm) SR 11-7-style independent validation before go-live.</w:t>
            </w:r>
          </w:p>
        </w:tc>
      </w:tr>
      <w:tr>
        <w:tc>
          <w:tcPr>
            <w:tcW w:type="dxa" w:w="4320"/>
          </w:tcPr>
          <w:p>
            <w:r>
              <w:t>Measurable</w:t>
            </w:r>
          </w:p>
        </w:tc>
        <w:tc>
          <w:tcPr>
            <w:tcW w:type="dxa" w:w="4320"/>
          </w:tcPr>
          <w:p>
            <w:r>
              <w:t>Notebook 07 assigned risk tier 'Tier 2 (Medium)'.</w:t>
            </w:r>
          </w:p>
        </w:tc>
      </w:tr>
      <w:tr>
        <w:tc>
          <w:tcPr>
            <w:tcW w:type="dxa" w:w="4320"/>
          </w:tcPr>
          <w:p>
            <w:r>
              <w:t>Achievable</w:t>
            </w:r>
          </w:p>
        </w:tc>
        <w:tc>
          <w:tcPr>
            <w:tcW w:type="dxa" w:w="4320"/>
          </w:tcPr>
          <w:p>
            <w:r>
              <w:t>Notebook 07 runs PSI, rank-ordering, sensitivity, and challenger-benchmark checks directly against Notebook 05's saved champion.</w:t>
            </w:r>
          </w:p>
        </w:tc>
      </w:tr>
      <w:tr>
        <w:tc>
          <w:tcPr>
            <w:tcW w:type="dxa" w:w="4320"/>
          </w:tcPr>
          <w:p>
            <w:r>
              <w:t>Relevant</w:t>
            </w:r>
          </w:p>
        </w:tc>
        <w:tc>
          <w:tcPr>
            <w:tcW w:type="dxa" w:w="4320"/>
          </w:tcPr>
          <w:p>
            <w:r>
              <w:t>Regulatory and internal governance prerequisite for any credit-decisioning model.</w:t>
            </w:r>
          </w:p>
        </w:tc>
      </w:tr>
      <w:tr>
        <w:tc>
          <w:tcPr>
            <w:tcW w:type="dxa" w:w="4320"/>
          </w:tcPr>
          <w:p>
            <w:r>
              <w:t>Time Bound</w:t>
            </w:r>
          </w:p>
        </w:tc>
        <w:tc>
          <w:tcPr>
            <w:tcW w:type="dxa" w:w="4320"/>
          </w:tcPr>
          <w:p>
            <w:r>
              <w:t>Must complete during Phase 4 (Model Risk Validation &amp; Compliance Review) before Phase 5 begins.</w:t>
            </w:r>
          </w:p>
        </w:tc>
      </w:tr>
    </w:tbl>
    <w:p>
      <w:pPr>
        <w:pStyle w:val="Heading2"/>
      </w:pPr>
      <w:r>
        <w:t>Compliance / Regulatory Affairs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Specific</w:t>
            </w:r>
          </w:p>
        </w:tc>
        <w:tc>
          <w:tcPr>
            <w:tcW w:type="dxa" w:w="4320"/>
          </w:tcPr>
          <w:p>
            <w:r>
              <w:t>Complete Basel III / IFRS 9 capital-treatment mapping and fair-lending review.</w:t>
            </w:r>
          </w:p>
        </w:tc>
      </w:tr>
      <w:tr>
        <w:tc>
          <w:tcPr>
            <w:tcW w:type="dxa" w:w="4320"/>
          </w:tcPr>
          <w:p>
            <w:r>
              <w:t>Measurable</w:t>
            </w:r>
          </w:p>
        </w:tc>
        <w:tc>
          <w:tcPr>
            <w:tcW w:type="dxa" w:w="4320"/>
          </w:tcPr>
          <w:p>
            <w:r>
              <w:t>0 feature(s) flagged with significant population shift (Notebook 07).</w:t>
            </w:r>
          </w:p>
        </w:tc>
      </w:tr>
      <w:tr>
        <w:tc>
          <w:tcPr>
            <w:tcW w:type="dxa" w:w="4320"/>
          </w:tcPr>
          <w:p>
            <w:r>
              <w:t>Achievable</w:t>
            </w:r>
          </w:p>
        </w:tc>
        <w:tc>
          <w:tcPr>
            <w:tcW w:type="dxa" w:w="4320"/>
          </w:tcPr>
          <w:p>
            <w:r>
              <w:t>Notebook 08 (Basel III / IFRS 9 Mapping) produces the required documentation trail.</w:t>
            </w:r>
          </w:p>
        </w:tc>
      </w:tr>
      <w:tr>
        <w:tc>
          <w:tcPr>
            <w:tcW w:type="dxa" w:w="4320"/>
          </w:tcPr>
          <w:p>
            <w:r>
              <w:t>Relevant</w:t>
            </w:r>
          </w:p>
        </w:tc>
        <w:tc>
          <w:tcPr>
            <w:tcW w:type="dxa" w:w="4320"/>
          </w:tcPr>
          <w:p>
            <w:r>
              <w:t>Deployment cannot proceed at a regulated card issuer without this sign-off.</w:t>
            </w:r>
          </w:p>
        </w:tc>
      </w:tr>
      <w:tr>
        <w:tc>
          <w:tcPr>
            <w:tcW w:type="dxa" w:w="4320"/>
          </w:tcPr>
          <w:p>
            <w:r>
              <w:t>Time Bound</w:t>
            </w:r>
          </w:p>
        </w:tc>
        <w:tc>
          <w:tcPr>
            <w:tcW w:type="dxa" w:w="4320"/>
          </w:tcPr>
          <w:p>
            <w:r>
              <w:t>Complete within Phase 4, in parallel with Model Risk Management.</w:t>
            </w:r>
          </w:p>
        </w:tc>
      </w:tr>
    </w:tbl>
    <w:p>
      <w:pPr>
        <w:pStyle w:val="Heading2"/>
      </w:pPr>
      <w:r>
        <w:t>Collections Operations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Specific</w:t>
            </w:r>
          </w:p>
        </w:tc>
        <w:tc>
          <w:tcPr>
            <w:tcW w:type="dxa" w:w="4320"/>
          </w:tcPr>
          <w:p>
            <w:r>
              <w:t>Build the intervention workflow (outreach, credit-line adjustment) for accounts newly flagged by the improved model.</w:t>
            </w:r>
          </w:p>
        </w:tc>
      </w:tr>
      <w:tr>
        <w:tc>
          <w:tcPr>
            <w:tcW w:type="dxa" w:w="4320"/>
          </w:tcPr>
          <w:p>
            <w:r>
              <w:t>Measurable</w:t>
            </w:r>
          </w:p>
        </w:tc>
        <w:tc>
          <w:tcPr>
            <w:tcW w:type="dxa" w:w="4320"/>
          </w:tcPr>
          <w:p>
            <w:r>
              <w:t>Assumed 35% intervention success rate drives $262,032,457/year in modeled loss avoidance -- track actual realized success rate against this assumption post go-live.</w:t>
            </w:r>
          </w:p>
        </w:tc>
      </w:tr>
      <w:tr>
        <w:tc>
          <w:tcPr>
            <w:tcW w:type="dxa" w:w="4320"/>
          </w:tcPr>
          <w:p>
            <w:r>
              <w:t>Achievable</w:t>
            </w:r>
          </w:p>
        </w:tc>
        <w:tc>
          <w:tcPr>
            <w:tcW w:type="dxa" w:w="4320"/>
          </w:tcPr>
          <w:p>
            <w:r>
              <w:t>Workflow changes only, no new systems required beyond the model's output feed.</w:t>
            </w:r>
          </w:p>
        </w:tc>
      </w:tr>
      <w:tr>
        <w:tc>
          <w:tcPr>
            <w:tcW w:type="dxa" w:w="4320"/>
          </w:tcPr>
          <w:p>
            <w:r>
              <w:t>Relevant</w:t>
            </w:r>
          </w:p>
        </w:tc>
        <w:tc>
          <w:tcPr>
            <w:tcW w:type="dxa" w:w="4320"/>
          </w:tcPr>
          <w:p>
            <w:r>
              <w:t>Realizing the loss-avoided benefit depends entirely on Collections actually acting on the model's flags.</w:t>
            </w:r>
          </w:p>
        </w:tc>
      </w:tr>
      <w:tr>
        <w:tc>
          <w:tcPr>
            <w:tcW w:type="dxa" w:w="4320"/>
          </w:tcPr>
          <w:p>
            <w:r>
              <w:t>Time Bound</w:t>
            </w:r>
          </w:p>
        </w:tc>
        <w:tc>
          <w:tcPr>
            <w:tcW w:type="dxa" w:w="4320"/>
          </w:tcPr>
          <w:p>
            <w:r>
              <w:t>Operational by end of Phase 6 (UAT &amp; Shadow-Mode).</w:t>
            </w:r>
          </w:p>
        </w:tc>
      </w:tr>
    </w:tbl>
    <w:p>
      <w:pPr>
        <w:pStyle w:val="Heading2"/>
      </w:pPr>
      <w:r>
        <w:t>Data Engineering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Specific</w:t>
            </w:r>
          </w:p>
        </w:tc>
        <w:tc>
          <w:tcPr>
            <w:tcW w:type="dxa" w:w="4320"/>
          </w:tcPr>
          <w:p>
            <w:r>
              <w:t>Productionize the Notebook 02/04 Polars feature-store pipeline for daily/real-time scoring.</w:t>
            </w:r>
          </w:p>
        </w:tc>
      </w:tr>
      <w:tr>
        <w:tc>
          <w:tcPr>
            <w:tcW w:type="dxa" w:w="4320"/>
          </w:tcPr>
          <w:p>
            <w:r>
              <w:t>Measurable</w:t>
            </w:r>
          </w:p>
        </w:tc>
        <w:tc>
          <w:tcPr>
            <w:tcW w:type="dxa" w:w="4320"/>
          </w:tcPr>
          <w:p>
            <w:r>
              <w:t>Pipeline must reproduce the same feature set the champion model was trained on (see Notebook 04's engineered feature columns).</w:t>
            </w:r>
          </w:p>
        </w:tc>
      </w:tr>
      <w:tr>
        <w:tc>
          <w:tcPr>
            <w:tcW w:type="dxa" w:w="4320"/>
          </w:tcPr>
          <w:p>
            <w:r>
              <w:t>Achievable</w:t>
            </w:r>
          </w:p>
        </w:tc>
        <w:tc>
          <w:tcPr>
            <w:tcW w:type="dxa" w:w="4320"/>
          </w:tcPr>
          <w:p>
            <w:r>
              <w:t>Pipeline already exists and runs end-to-end in this platform; this is a hardening/scheduling task, not new development.</w:t>
            </w:r>
          </w:p>
        </w:tc>
      </w:tr>
      <w:tr>
        <w:tc>
          <w:tcPr>
            <w:tcW w:type="dxa" w:w="4320"/>
          </w:tcPr>
          <w:p>
            <w:r>
              <w:t>Relevant</w:t>
            </w:r>
          </w:p>
        </w:tc>
        <w:tc>
          <w:tcPr>
            <w:tcW w:type="dxa" w:w="4320"/>
          </w:tcPr>
          <w:p>
            <w:r>
              <w:t>Every downstream number in this report assumes the production feature set matches what Notebook 05 trained on.</w:t>
            </w:r>
          </w:p>
        </w:tc>
      </w:tr>
      <w:tr>
        <w:tc>
          <w:tcPr>
            <w:tcW w:type="dxa" w:w="4320"/>
          </w:tcPr>
          <w:p>
            <w:r>
              <w:t>Time Bound</w:t>
            </w:r>
          </w:p>
        </w:tc>
        <w:tc>
          <w:tcPr>
            <w:tcW w:type="dxa" w:w="4320"/>
          </w:tcPr>
          <w:p>
            <w:r>
              <w:t>Complete during Phase 2 (weeks 2-5).</w:t>
            </w:r>
          </w:p>
        </w:tc>
      </w:tr>
    </w:tbl>
    <w:p>
      <w:pPr>
        <w:pStyle w:val="Heading2"/>
      </w:pPr>
      <w:r>
        <w:t>MLOps / Platform Engineering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Specific</w:t>
            </w:r>
          </w:p>
        </w:tc>
        <w:tc>
          <w:tcPr>
            <w:tcW w:type="dxa" w:w="4320"/>
          </w:tcPr>
          <w:p>
            <w:r>
              <w:t>Stand up the FastAPI scoring service, Docker packaging, and monitoring pipeline (Notebooks 09-12).</w:t>
            </w:r>
          </w:p>
        </w:tc>
      </w:tr>
      <w:tr>
        <w:tc>
          <w:tcPr>
            <w:tcW w:type="dxa" w:w="4320"/>
          </w:tcPr>
          <w:p>
            <w:r>
              <w:t>Measurable</w:t>
            </w:r>
          </w:p>
        </w:tc>
        <w:tc>
          <w:tcPr>
            <w:tcW w:type="dxa" w:w="4320"/>
          </w:tcPr>
          <w:p>
            <w:r>
              <w:t>Monthly recurring cost budget: $16,500/month post go-live (assumption, Section 5).</w:t>
            </w:r>
          </w:p>
        </w:tc>
      </w:tr>
      <w:tr>
        <w:tc>
          <w:tcPr>
            <w:tcW w:type="dxa" w:w="4320"/>
          </w:tcPr>
          <w:p>
            <w:r>
              <w:t>Achievable</w:t>
            </w:r>
          </w:p>
        </w:tc>
        <w:tc>
          <w:tcPr>
            <w:tcW w:type="dxa" w:w="4320"/>
          </w:tcPr>
          <w:p>
            <w:r>
              <w:t>Architecture and monitoring triggers (PSI &gt; 0.25) are already defined in this platform's governance docs.</w:t>
            </w:r>
          </w:p>
        </w:tc>
      </w:tr>
      <w:tr>
        <w:tc>
          <w:tcPr>
            <w:tcW w:type="dxa" w:w="4320"/>
          </w:tcPr>
          <w:p>
            <w:r>
              <w:t>Relevant</w:t>
            </w:r>
          </w:p>
        </w:tc>
        <w:tc>
          <w:tcPr>
            <w:tcW w:type="dxa" w:w="4320"/>
          </w:tcPr>
          <w:p>
            <w:r>
              <w:t>Deployment reliability and drift monitoring directly protect the modeled financial benefit from decaying silently.</w:t>
            </w:r>
          </w:p>
        </w:tc>
      </w:tr>
      <w:tr>
        <w:tc>
          <w:tcPr>
            <w:tcW w:type="dxa" w:w="4320"/>
          </w:tcPr>
          <w:p>
            <w:r>
              <w:t>Time Bound</w:t>
            </w:r>
          </w:p>
        </w:tc>
        <w:tc>
          <w:tcPr>
            <w:tcW w:type="dxa" w:w="4320"/>
          </w:tcPr>
          <w:p>
            <w:r>
              <w:t>Complete during Phase 5 (weeks 9-14).</w:t>
            </w:r>
          </w:p>
        </w:tc>
      </w:tr>
    </w:tbl>
    <w:p>
      <w:pPr>
        <w:pStyle w:val="Heading2"/>
      </w:pPr>
      <w:r>
        <w:t>Card Issuing / Product Business Unit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Specific</w:t>
            </w:r>
          </w:p>
        </w:tc>
        <w:tc>
          <w:tcPr>
            <w:tcW w:type="dxa" w:w="4320"/>
          </w:tcPr>
          <w:p>
            <w:r>
              <w:t>Adjust approval-policy thresholds to capture the modeled incremental-approval opportunity.</w:t>
            </w:r>
          </w:p>
        </w:tc>
      </w:tr>
      <w:tr>
        <w:tc>
          <w:tcPr>
            <w:tcW w:type="dxa" w:w="4320"/>
          </w:tcPr>
          <w:p>
            <w:r>
              <w:t>Measurable</w:t>
            </w:r>
          </w:p>
        </w:tc>
        <w:tc>
          <w:tcPr>
            <w:tcW w:type="dxa" w:w="4320"/>
          </w:tcPr>
          <w:p>
            <w:r>
              <w:t>$2,640,000/year modeled revenue uplift from a stated 3%-point increase in approvals among 400,000 assumed annual applicants.</w:t>
            </w:r>
          </w:p>
        </w:tc>
      </w:tr>
      <w:tr>
        <w:tc>
          <w:tcPr>
            <w:tcW w:type="dxa" w:w="4320"/>
          </w:tcPr>
          <w:p>
            <w:r>
              <w:t>Achievable</w:t>
            </w:r>
          </w:p>
        </w:tc>
        <w:tc>
          <w:tcPr>
            <w:tcW w:type="dxa" w:w="4320"/>
          </w:tcPr>
          <w:p>
            <w:r>
              <w:t>Requires only a policy-threshold change once the new model's calibration is validated (Notebook 07).</w:t>
            </w:r>
          </w:p>
        </w:tc>
      </w:tr>
      <w:tr>
        <w:tc>
          <w:tcPr>
            <w:tcW w:type="dxa" w:w="4320"/>
          </w:tcPr>
          <w:p>
            <w:r>
              <w:t>Relevant</w:t>
            </w:r>
          </w:p>
        </w:tc>
        <w:tc>
          <w:tcPr>
            <w:tcW w:type="dxa" w:w="4320"/>
          </w:tcPr>
          <w:p>
            <w:r>
              <w:t>New-business revenue is the second major component of the financial case, alongside loss avoidance.</w:t>
            </w:r>
          </w:p>
        </w:tc>
      </w:tr>
      <w:tr>
        <w:tc>
          <w:tcPr>
            <w:tcW w:type="dxa" w:w="4320"/>
          </w:tcPr>
          <w:p>
            <w:r>
              <w:t>Time Bound</w:t>
            </w:r>
          </w:p>
        </w:tc>
        <w:tc>
          <w:tcPr>
            <w:tcW w:type="dxa" w:w="4320"/>
          </w:tcPr>
          <w:p>
            <w:r>
              <w:t>Threshold change effective at go-live (Phase 7).</w:t>
            </w:r>
          </w:p>
        </w:tc>
      </w:tr>
    </w:tbl>
    <w:p>
      <w:pPr>
        <w:pStyle w:val="Heading2"/>
      </w:pPr>
      <w:r>
        <w:t>Finance / CFO Office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Specific</w:t>
            </w:r>
          </w:p>
        </w:tc>
        <w:tc>
          <w:tcPr>
            <w:tcW w:type="dxa" w:w="4320"/>
          </w:tcPr>
          <w:p>
            <w:r>
              <w:t>Track realized costs and benefits against this report's modeled figures on a monthly cadence.</w:t>
            </w:r>
          </w:p>
        </w:tc>
      </w:tr>
      <w:tr>
        <w:tc>
          <w:tcPr>
            <w:tcW w:type="dxa" w:w="4320"/>
          </w:tcPr>
          <w:p>
            <w:r>
              <w:t>Measurable</w:t>
            </w:r>
          </w:p>
        </w:tc>
        <w:tc>
          <w:tcPr>
            <w:tcW w:type="dxa" w:w="4320"/>
          </w:tcPr>
          <w:p>
            <w:r>
              <w:t>Total one-time investment $421,000; monthly recurring $16,500; base-scenario payback at month 7.</w:t>
            </w:r>
          </w:p>
        </w:tc>
      </w:tr>
      <w:tr>
        <w:tc>
          <w:tcPr>
            <w:tcW w:type="dxa" w:w="4320"/>
          </w:tcPr>
          <w:p>
            <w:r>
              <w:t>Achievable</w:t>
            </w:r>
          </w:p>
        </w:tc>
        <w:tc>
          <w:tcPr>
            <w:tcW w:type="dxa" w:w="4320"/>
          </w:tcPr>
          <w:p>
            <w:r>
              <w:t>monthly_financial_model.csv (this notebook's own output) gives a ready-made tracking template.</w:t>
            </w:r>
          </w:p>
        </w:tc>
      </w:tr>
      <w:tr>
        <w:tc>
          <w:tcPr>
            <w:tcW w:type="dxa" w:w="4320"/>
          </w:tcPr>
          <w:p>
            <w:r>
              <w:t>Relevant</w:t>
            </w:r>
          </w:p>
        </w:tc>
        <w:tc>
          <w:tcPr>
            <w:tcW w:type="dxa" w:w="4320"/>
          </w:tcPr>
          <w:p>
            <w:r>
              <w:t>Validates or corrects this report's assumptions with real realized figures as they become available.</w:t>
            </w:r>
          </w:p>
        </w:tc>
      </w:tr>
      <w:tr>
        <w:tc>
          <w:tcPr>
            <w:tcW w:type="dxa" w:w="4320"/>
          </w:tcPr>
          <w:p>
            <w:r>
              <w:t>Time Bound</w:t>
            </w:r>
          </w:p>
        </w:tc>
        <w:tc>
          <w:tcPr>
            <w:tcW w:type="dxa" w:w="4320"/>
          </w:tcPr>
          <w:p>
            <w:r>
              <w:t>First realized-vs-modeled variance review at month 3 post go-live, then quarterly.</w:t>
            </w:r>
          </w:p>
        </w:tc>
      </w:tr>
    </w:tbl>
    <w:p>
      <w:pPr>
        <w:pStyle w:val="Heading2"/>
      </w:pPr>
      <w:r>
        <w:t>External Regulator Engagement (e.g. Federal Reserve / OCC)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Specific</w:t>
            </w:r>
          </w:p>
        </w:tc>
        <w:tc>
          <w:tcPr>
            <w:tcW w:type="dxa" w:w="4320"/>
          </w:tcPr>
          <w:p>
            <w:r>
              <w:t>Maintain the full documentation trail (Notebooks 01, 05, 07, 08, 14) as supervisory evidence.</w:t>
            </w:r>
          </w:p>
        </w:tc>
      </w:tr>
      <w:tr>
        <w:tc>
          <w:tcPr>
            <w:tcW w:type="dxa" w:w="4320"/>
          </w:tcPr>
          <w:p>
            <w:r>
              <w:t>Measurable</w:t>
            </w:r>
          </w:p>
        </w:tc>
        <w:tc>
          <w:tcPr>
            <w:tcW w:type="dxa" w:w="4320"/>
          </w:tcPr>
          <w:p>
            <w:r>
              <w:t>9 governance dimensions tracked in Notebook 07's checklist -- current tier: Tier 2 (Medium).</w:t>
            </w:r>
          </w:p>
        </w:tc>
      </w:tr>
      <w:tr>
        <w:tc>
          <w:tcPr>
            <w:tcW w:type="dxa" w:w="4320"/>
          </w:tcPr>
          <w:p>
            <w:r>
              <w:t>Achievable</w:t>
            </w:r>
          </w:p>
        </w:tc>
        <w:tc>
          <w:tcPr>
            <w:tcW w:type="dxa" w:w="4320"/>
          </w:tcPr>
          <w:p>
            <w:r>
              <w:t>Every document already exists as a notebook output; no new artifact type required.</w:t>
            </w:r>
          </w:p>
        </w:tc>
      </w:tr>
      <w:tr>
        <w:tc>
          <w:tcPr>
            <w:tcW w:type="dxa" w:w="4320"/>
          </w:tcPr>
          <w:p>
            <w:r>
              <w:t>Relevant</w:t>
            </w:r>
          </w:p>
        </w:tc>
        <w:tc>
          <w:tcPr>
            <w:tcW w:type="dxa" w:w="4320"/>
          </w:tcPr>
          <w:p>
            <w:r>
              <w:t>SR 11-7 / OCC 2011-12 examinations expect exactly this kind of end-to-end evidentiary trail.</w:t>
            </w:r>
          </w:p>
        </w:tc>
      </w:tr>
      <w:tr>
        <w:tc>
          <w:tcPr>
            <w:tcW w:type="dxa" w:w="4320"/>
          </w:tcPr>
          <w:p>
            <w:r>
              <w:t>Time Bound</w:t>
            </w:r>
          </w:p>
        </w:tc>
        <w:tc>
          <w:tcPr>
            <w:tcW w:type="dxa" w:w="4320"/>
          </w:tcPr>
          <w:p>
            <w:r>
              <w:t>Documentation package finalized before go-live (end of Phase 6).</w:t>
            </w:r>
          </w:p>
        </w:tc>
      </w:tr>
    </w:tbl>
    <w:p>
      <w:pPr>
        <w:pStyle w:val="Heading1"/>
      </w:pPr>
      <w:r>
        <w:t>10. Limitations &amp; Disclaimers</w:t>
      </w:r>
    </w:p>
    <w:p>
      <w:pPr>
        <w:pStyle w:val="ListBullet"/>
      </w:pPr>
      <w:r>
        <w:t>All dollar figures rest on the stated hypothetical scenario in Sections 4-5, not real AMEX financials -- the Kaggle dataset contains no revenue, cost, or investment data for any institution.</w:t>
      </w:r>
    </w:p>
    <w:p>
      <w:pPr>
        <w:pStyle w:val="ListBullet"/>
      </w:pPr>
      <w:r>
        <w:t>This report is a worked methodology with editable assumption constants, not investment, accounting, tax, or regulatory advice. Consult your institution's finance, actuarial, and compliance functions before acting on any figure in this report.</w:t>
      </w:r>
    </w:p>
    <w:p>
      <w:pPr>
        <w:pStyle w:val="ListBullet"/>
      </w:pPr>
      <w:r>
        <w:t>Benefit realization depends on operational execution (e.g. Collections actually acting on model flags) that this report cannot guarantee -- see the SMART recommendations above for the operational prerequisites.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Nandagopal R</dc:creator>
  <cp:keywords/>
  <dc:description>generated by python-docx</dc:description>
  <cp:lastModifiedBy>Nandagopal R</cp:lastModifiedBy>
  <cp:revision>1</cp:revision>
  <dcterms:created xsi:type="dcterms:W3CDTF">2013-12-23T23:15:00Z</dcterms:created>
  <dcterms:modified xsi:type="dcterms:W3CDTF">2013-12-23T23:15:00Z</dcterms:modified>
  <cp:category/>
</cp:coreProperties>
</file>