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AMEX Enterprise Credit Risk Platform</w:t>
      </w:r>
    </w:p>
    <w:p>
      <w:r>
        <w:t>MLOps: Model Card &amp; Deployment Report -- Notebook 09</w:t>
      </w:r>
    </w:p>
    <w:p>
      <w:pPr/>
      <w:r>
        <w:t>Project Portfolio Prepared By Nandagopal R</w:t>
      </w:r>
    </w:p>
    <w:p>
      <w:r>
        <w:t>Generated: 2026-08-23 22:13</w:t>
      </w:r>
    </w:p>
    <w:p>
      <w:pPr>
        <w:pStyle w:val="Heading1"/>
      </w:pPr>
      <w:r>
        <w:t>1. Model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Model Name</w:t>
            </w:r>
          </w:p>
        </w:tc>
        <w:tc>
          <w:tcPr>
            <w:tcW w:type="dxa" w:w="4320"/>
          </w:tcPr>
          <w:p>
            <w:r>
              <w:t>xgboost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Sha256</w:t>
            </w:r>
          </w:p>
        </w:tc>
        <w:tc>
          <w:tcPr>
            <w:tcW w:type="dxa" w:w="4320"/>
          </w:tcPr>
          <w:p>
            <w:r>
              <w:t>253726312ba06eee473b9696896dde66e238b132a3f1aabd4cd5bb9ab04c63e6</w:t>
            </w:r>
          </w:p>
        </w:tc>
      </w:tr>
      <w:tr>
        <w:tc>
          <w:tcPr>
            <w:tcW w:type="dxa" w:w="4320"/>
          </w:tcPr>
          <w:p>
            <w:r>
              <w:t>File Size Mb</w:t>
            </w:r>
          </w:p>
        </w:tc>
        <w:tc>
          <w:tcPr>
            <w:tcW w:type="dxa" w:w="4320"/>
          </w:tcPr>
          <w:p>
            <w:r>
              <w:t>1.891</w:t>
            </w:r>
          </w:p>
        </w:tc>
      </w:tr>
      <w:tr>
        <w:tc>
          <w:tcPr>
            <w:tcW w:type="dxa" w:w="4320"/>
          </w:tcPr>
          <w:p>
            <w:r>
              <w:t>Feature Count</w:t>
            </w:r>
          </w:p>
        </w:tc>
        <w:tc>
          <w:tcPr>
            <w:tcW w:type="dxa" w:w="4320"/>
          </w:tcPr>
          <w:p>
            <w:r>
              <w:t>1804</w:t>
            </w:r>
          </w:p>
        </w:tc>
      </w:tr>
    </w:tbl>
    <w:p>
      <w:pPr>
        <w:pStyle w:val="Heading1"/>
      </w:pPr>
      <w:r>
        <w:t>2. Intended Use</w:t>
      </w:r>
    </w:p>
    <w:p>
      <w:r>
        <w:t>Predicts probability of default (PD) for American Express card customers, to support credit underwriting, pricing, and collections-prioritization decisions. NOT intended for use on applicant populations outside the training distribution (see Notebook 01's reject-inference limitation) without re-validation.</w:t>
      </w:r>
    </w:p>
    <w:p>
      <w:pPr>
        <w:pStyle w:val="Heading1"/>
      </w:pPr>
      <w:r>
        <w:t>3. Training Data &amp; Evaluation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Holdout Auc</w:t>
            </w:r>
          </w:p>
        </w:tc>
        <w:tc>
          <w:tcPr>
            <w:tcW w:type="dxa" w:w="4320"/>
          </w:tcPr>
          <w:p>
            <w:r>
              <w:t>0.9620396555226549</w:t>
            </w:r>
          </w:p>
        </w:tc>
      </w:tr>
      <w:tr>
        <w:tc>
          <w:tcPr>
            <w:tcW w:type="dxa" w:w="4320"/>
          </w:tcPr>
          <w:p>
            <w:r>
              <w:t>Holdout Amex Metric</w:t>
            </w:r>
          </w:p>
        </w:tc>
        <w:tc>
          <w:tcPr>
            <w:tcW w:type="dxa" w:w="4320"/>
          </w:tcPr>
          <w:p>
            <w:r>
              <w:t>0.7935631597243085</w:t>
            </w:r>
          </w:p>
        </w:tc>
      </w:tr>
      <w:tr>
        <w:tc>
          <w:tcPr>
            <w:tcW w:type="dxa" w:w="4320"/>
          </w:tcPr>
          <w:p>
            <w:r>
              <w:t>Holdout Top4Pct Capture</w:t>
            </w:r>
          </w:p>
        </w:tc>
        <w:tc>
          <w:tcPr>
            <w:tcW w:type="dxa" w:w="4320"/>
          </w:tcPr>
          <w:p>
            <w:r>
              <w:t>0.6630480518387613</w:t>
            </w:r>
          </w:p>
        </w:tc>
      </w:tr>
      <w:tr>
        <w:tc>
          <w:tcPr>
            <w:tcW w:type="dxa" w:w="4320"/>
          </w:tcPr>
          <w:p>
            <w:r>
              <w:t>Model Risk Tier</w:t>
            </w:r>
          </w:p>
        </w:tc>
        <w:tc>
          <w:tcPr>
            <w:tcW w:type="dxa" w:w="4320"/>
          </w:tcPr>
          <w:p>
            <w:r>
              <w:t>Tier 2 (Medium)</w:t>
            </w:r>
          </w:p>
        </w:tc>
      </w:tr>
    </w:tbl>
    <w:p>
      <w:pPr>
        <w:pStyle w:val="Heading1"/>
      </w:pPr>
      <w:r>
        <w:t>4. Inference Performance (Measured, This Run)</w:t>
      </w:r>
    </w:p>
    <w:p>
      <w:r>
        <w:drawing>
          <wp:inline xmlns:a="http://schemas.openxmlformats.org/drawingml/2006/main" xmlns:pic="http://schemas.openxmlformats.org/drawingml/2006/picture">
            <wp:extent cx="5486400" cy="37719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ops_latency_distribution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719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 Latency Samples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Single Row P50 Ms</w:t>
            </w:r>
          </w:p>
        </w:tc>
        <w:tc>
          <w:tcPr>
            <w:tcW w:type="dxa" w:w="4320"/>
          </w:tcPr>
          <w:p>
            <w:r>
              <w:t>0.4918</w:t>
            </w:r>
          </w:p>
        </w:tc>
      </w:tr>
      <w:tr>
        <w:tc>
          <w:tcPr>
            <w:tcW w:type="dxa" w:w="4320"/>
          </w:tcPr>
          <w:p>
            <w:r>
              <w:t>Single Row P95 Ms</w:t>
            </w:r>
          </w:p>
        </w:tc>
        <w:tc>
          <w:tcPr>
            <w:tcW w:type="dxa" w:w="4320"/>
          </w:tcPr>
          <w:p>
            <w:r>
              <w:t>0.674</w:t>
            </w:r>
          </w:p>
        </w:tc>
      </w:tr>
      <w:tr>
        <w:tc>
          <w:tcPr>
            <w:tcW w:type="dxa" w:w="4320"/>
          </w:tcPr>
          <w:p>
            <w:r>
              <w:t>Single Row P99 Ms</w:t>
            </w:r>
          </w:p>
        </w:tc>
        <w:tc>
          <w:tcPr>
            <w:tcW w:type="dxa" w:w="4320"/>
          </w:tcPr>
          <w:p>
            <w:r>
              <w:t>11.5809</w:t>
            </w:r>
          </w:p>
        </w:tc>
      </w:tr>
      <w:tr>
        <w:tc>
          <w:tcPr>
            <w:tcW w:type="dxa" w:w="4320"/>
          </w:tcPr>
          <w:p>
            <w:r>
              <w:t>Single Row Max Ms</w:t>
            </w:r>
          </w:p>
        </w:tc>
        <w:tc>
          <w:tcPr>
            <w:tcW w:type="dxa" w:w="4320"/>
          </w:tcPr>
          <w:p>
            <w:r>
              <w:t>52.6358</w:t>
            </w:r>
          </w:p>
        </w:tc>
      </w:tr>
      <w:tr>
        <w:tc>
          <w:tcPr>
            <w:tcW w:type="dxa" w:w="4320"/>
          </w:tcPr>
          <w:p>
            <w:r>
              <w:t>Batch Rows Scored</w:t>
            </w:r>
          </w:p>
        </w:tc>
        <w:tc>
          <w:tcPr>
            <w:tcW w:type="dxa" w:w="4320"/>
          </w:tcPr>
          <w:p>
            <w:r>
              <w:t>91783</w:t>
            </w:r>
          </w:p>
        </w:tc>
      </w:tr>
      <w:tr>
        <w:tc>
          <w:tcPr>
            <w:tcW w:type="dxa" w:w="4320"/>
          </w:tcPr>
          <w:p>
            <w:r>
              <w:t>Batch Seconds</w:t>
            </w:r>
          </w:p>
        </w:tc>
        <w:tc>
          <w:tcPr>
            <w:tcW w:type="dxa" w:w="4320"/>
          </w:tcPr>
          <w:p>
            <w:r>
              <w:t>0.2656</w:t>
            </w:r>
          </w:p>
        </w:tc>
      </w:tr>
      <w:tr>
        <w:tc>
          <w:tcPr>
            <w:tcW w:type="dxa" w:w="4320"/>
          </w:tcPr>
          <w:p>
            <w:r>
              <w:t>Batch Throughput Rows Per Sec</w:t>
            </w:r>
          </w:p>
        </w:tc>
        <w:tc>
          <w:tcPr>
            <w:tcW w:type="dxa" w:w="4320"/>
          </w:tcPr>
          <w:p>
            <w:r>
              <w:t>345611.7</w:t>
            </w:r>
          </w:p>
        </w:tc>
      </w:tr>
      <w:tr>
        <w:tc>
          <w:tcPr>
            <w:tcW w:type="dxa" w:w="4320"/>
          </w:tcPr>
          <w:p>
            <w:r>
              <w:t>Model Load Seconds</w:t>
            </w:r>
          </w:p>
        </w:tc>
        <w:tc>
          <w:tcPr>
            <w:tcW w:type="dxa" w:w="4320"/>
          </w:tcPr>
          <w:p>
            <w:r>
              <w:t>0.0728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029200" cy="42554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ops_load_vs_batch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554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Ethical Considerations &amp; Caveats</w:t>
      </w:r>
    </w:p>
    <w:p>
      <w:pPr>
        <w:pStyle w:val="ListBullet"/>
      </w:pPr>
      <w:r>
        <w:t>The AMEX dataset is accepts-only (no rejected-applicant data) -- this model cannot by itself validate how a never-approved population would perform (Notebook 01).</w:t>
      </w:r>
    </w:p>
    <w:p>
      <w:pPr>
        <w:pStyle w:val="ListBullet"/>
      </w:pPr>
      <w:r>
        <w:t>Fair-lending / disparate-impact testing is tracked in Notebook 07's governance checklist, not repeated here.</w:t>
      </w:r>
    </w:p>
    <w:p>
      <w:pPr>
        <w:pStyle w:val="ListBullet"/>
      </w:pPr>
      <w:r>
        <w:t>This model card documents the CHAMPION model identified by Notebook 05's holdout AMEX metric ranking -- re-run Notebook 05 and this notebook together if the champion changes.</w:t>
      </w:r>
    </w:p>
    <w:p>
      <w:pPr>
        <w:pStyle w:val="Heading1"/>
      </w:pPr>
      <w:r>
        <w:t>6. Deployment Readiness Checklist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Dimension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Evidence</w:t>
            </w:r>
          </w:p>
        </w:tc>
      </w:tr>
      <w:tr>
        <w:tc>
          <w:tcPr>
            <w:tcW w:type="dxa" w:w="2880"/>
          </w:tcPr>
          <w:p>
            <w:r>
              <w:t>Model Registered with Integrity Hash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model_registry.json, SHA-256 253726312ba06eee...</w:t>
            </w:r>
          </w:p>
        </w:tc>
      </w:tr>
      <w:tr>
        <w:tc>
          <w:tcPr>
            <w:tcW w:type="dxa" w:w="2880"/>
          </w:tcPr>
          <w:p>
            <w:r>
              <w:t>Inference Latency Benchmarked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p99 11.58ms single-row, 345,612 rows/sec batch</w:t>
            </w:r>
          </w:p>
        </w:tc>
      </w:tr>
      <w:tr>
        <w:tc>
          <w:tcPr>
            <w:tcW w:type="dxa" w:w="2880"/>
          </w:tcPr>
          <w:p>
            <w:r>
              <w:t>Environment Snapshot Captured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requirements.txt, this run</w:t>
            </w:r>
          </w:p>
        </w:tc>
      </w:tr>
      <w:tr>
        <w:tc>
          <w:tcPr>
            <w:tcW w:type="dxa" w:w="2880"/>
          </w:tcPr>
          <w:p>
            <w:r>
              <w:t>CI/CD Pipeline Defined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ci_cd_pipeline.yml, this run</w:t>
            </w:r>
          </w:p>
        </w:tc>
      </w:tr>
      <w:tr>
        <w:tc>
          <w:tcPr>
            <w:tcW w:type="dxa" w:w="2880"/>
          </w:tcPr>
          <w:p>
            <w:r>
              <w:t>Automated Retraining Triggers Defined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retraining_trigger_policy.json, this run</w:t>
            </w:r>
          </w:p>
        </w:tc>
      </w:tr>
      <w:tr>
        <w:tc>
          <w:tcPr>
            <w:tcW w:type="dxa" w:w="2880"/>
          </w:tcPr>
          <w:p>
            <w:r>
              <w:t>Model Risk Validation (SR 11-7 / MRM)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Risk tier: Tier 2 (Medium)</w:t>
            </w:r>
          </w:p>
        </w:tc>
      </w:tr>
      <w:tr>
        <w:tc>
          <w:tcPr>
            <w:tcW w:type="dxa" w:w="2880"/>
          </w:tcPr>
          <w:p>
            <w:r>
              <w:t>Meets Stated Deployment Floor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  <w:tc>
          <w:tcPr>
            <w:tcW w:type="dxa" w:w="2880"/>
          </w:tcPr>
          <w:p>
            <w:r>
              <w:t>AMEX metric 0.7935631597243085 vs floor 0.75</w:t>
            </w:r>
          </w:p>
        </w:tc>
      </w:tr>
      <w:tr>
        <w:tc>
          <w:tcPr>
            <w:tcW w:type="dxa" w:w="2880"/>
          </w:tcPr>
          <w:p>
            <w:r>
              <w:t>Scoring API Implementation (FastAPI)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Deferred to Notebook 10</w:t>
            </w:r>
          </w:p>
        </w:tc>
      </w:tr>
      <w:tr>
        <w:tc>
          <w:tcPr>
            <w:tcW w:type="dxa" w:w="2880"/>
          </w:tcPr>
          <w:p>
            <w:r>
              <w:t>Containerization (Docker)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Deferred to Notebook 11</w:t>
            </w:r>
          </w:p>
        </w:tc>
      </w:tr>
      <w:tr>
        <w:tc>
          <w:tcPr>
            <w:tcW w:type="dxa" w:w="2880"/>
          </w:tcPr>
          <w:p>
            <w:r>
              <w:t>Production Monitoring Configured</w:t>
            </w:r>
          </w:p>
        </w:tc>
        <w:tc>
          <w:tcPr>
            <w:tcW w:type="dxa" w:w="2880"/>
          </w:tcPr>
          <w:p>
            <w:r>
              <w:t>Not Yet Completed</w:t>
            </w:r>
          </w:p>
        </w:tc>
        <w:tc>
          <w:tcPr>
            <w:tcW w:type="dxa" w:w="2880"/>
          </w:tcPr>
          <w:p>
            <w:r>
              <w:t>Deferred to Notebook 12</w:t>
            </w:r>
          </w:p>
        </w:tc>
      </w:tr>
    </w:tbl>
    <w:p>
      <w:pPr>
        <w:pStyle w:val="Heading1"/>
      </w:pPr>
      <w:r>
        <w:t>7. Retraining Trigger Policy</w:t>
      </w:r>
    </w:p>
    <w:p>
      <w:pPr>
        <w:pStyle w:val="ListBullet"/>
      </w:pPr>
      <w:r>
        <w:t>trigger_1_population_stability: PSI &gt; 0.25 on any top-30 feature (Notebook 07) triggers mandatory review</w:t>
      </w:r>
    </w:p>
    <w:p>
      <w:r>
        <w:t xml:space="preserve">  Current status: 0 feature(s) currently over threshold</w:t>
      </w:r>
    </w:p>
    <w:p>
      <w:pPr>
        <w:pStyle w:val="ListBullet"/>
      </w:pPr>
      <w:r>
        <w:t>trigger_2_rank_ordering: Any decile-to-decile rank-ordering inversion (Notebook 07) triggers review</w:t>
      </w:r>
    </w:p>
    <w:p>
      <w:r>
        <w:t xml:space="preserve">  Current status: 0 inversion(s) currently found</w:t>
      </w:r>
    </w:p>
    <w:p>
      <w:pPr>
        <w:pStyle w:val="ListBullet"/>
      </w:pPr>
      <w:r>
        <w:t>trigger_3_performance_floor: Champion holdout AMEX metric falling below 0.75 (Notebook 01's stated floor) triggers immediate retraining</w:t>
      </w:r>
    </w:p>
    <w:p>
      <w:r>
        <w:t xml:space="preserve">  Current status: Current champion AMEX metric: 0.7935631597243085</w:t>
      </w:r>
    </w:p>
    <w:p>
      <w:pPr>
        <w:pStyle w:val="ListBullet"/>
      </w:pPr>
      <w:r>
        <w:t>trigger_4_scheduled_cadence: Quarterly scheduled retraining regardless of drift signals (stated policy)</w:t>
      </w:r>
    </w:p>
    <w:p>
      <w:r>
        <w:t xml:space="preserve">  Current status: Scheduling is an operational/CI concern outside this notebook's scope -- see ci_cd_pipeline.yml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Nandagopal R</dc:creator>
  <cp:keywords/>
  <dc:description>generated by python-docx</dc:description>
  <cp:lastModifiedBy>Nandagopal R</cp:lastModifiedBy>
  <cp:revision>1</cp:revision>
  <dcterms:created xsi:type="dcterms:W3CDTF">2013-12-23T23:15:00Z</dcterms:created>
  <dcterms:modified xsi:type="dcterms:W3CDTF">2013-12-23T23:15:00Z</dcterms:modified>
  <cp:category/>
</cp:coreProperties>
</file>