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1, Problem 2: Risk Tier Classification -- Independent Validation Report</w:t>
      </w:r>
    </w:p>
    <w:p>
      <w:pPr/>
      <w:r>
        <w:t>Project Portfolio Prepared By Nandagopal R</w:t>
      </w:r>
    </w:p>
    <w:p>
      <w:r>
        <w:t>Generated: 2026-08-24 12:40</w:t>
      </w:r>
    </w:p>
    <w:p>
      <w:pPr>
        <w:pStyle w:val="Heading1"/>
      </w:pPr>
      <w:r>
        <w:t>1. Scope</w:t>
      </w:r>
    </w:p>
    <w:p>
      <w:r>
        <w:t>Independent validation, in the spirit of SR 11-7 / OCC 2011-12, of the 'business_rule' risk-tier scheme built in Notebook 20 from Problem 1's real champion model (xgboost), applied to the real holdout population (91,783 customers).</w:t>
      </w:r>
    </w:p>
    <w:p>
      <w:pPr>
        <w:pStyle w:val="Heading1"/>
      </w:pPr>
      <w:r>
        <w:t>2. Statistical Validation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P Value</w:t>
            </w:r>
          </w:p>
        </w:tc>
        <w:tc>
          <w:tcPr>
            <w:tcW w:type="dxa" w:w="2160"/>
          </w:tcPr>
          <w:p>
            <w:r>
              <w:t>Significant At 0 001</w:t>
            </w:r>
          </w:p>
        </w:tc>
      </w:tr>
      <w:tr>
        <w:tc>
          <w:tcPr>
            <w:tcW w:type="dxa" w:w="2160"/>
          </w:tcPr>
          <w:p>
            <w:r>
              <w:t>Chi-square (tier vs. actual default)</w:t>
            </w:r>
          </w:p>
        </w:tc>
        <w:tc>
          <w:tcPr>
            <w:tcW w:type="dxa" w:w="2160"/>
          </w:tcPr>
          <w:p>
            <w:r>
              <w:t>53526.0713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Cramer's V (effect size)</w:t>
            </w:r>
          </w:p>
        </w:tc>
        <w:tc>
          <w:tcPr>
            <w:tcW w:type="dxa" w:w="2160"/>
          </w:tcPr>
          <w:p>
            <w:r>
              <w:t>0.7637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Spearman(tier rank, predicted PD)</w:t>
            </w:r>
          </w:p>
        </w:tc>
        <w:tc>
          <w:tcPr>
            <w:tcW w:type="dxa" w:w="2160"/>
          </w:tcPr>
          <w:p>
            <w:r>
              <w:t>0.8984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Spearman(tier rank, actual default)</w:t>
            </w:r>
          </w:p>
        </w:tc>
        <w:tc>
          <w:tcPr>
            <w:tcW w:type="dxa" w:w="2160"/>
          </w:tcPr>
          <w:p>
            <w:r>
              <w:t>0.7266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Split-half PSI (business_rule)</w:t>
            </w:r>
          </w:p>
        </w:tc>
        <w:tc>
          <w:tcPr>
            <w:tcW w:type="dxa" w:w="2160"/>
          </w:tcPr>
          <w:p>
            <w:r>
              <w:t>0.0001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Split-half PSI (quantile)</w:t>
            </w:r>
          </w:p>
        </w:tc>
        <w:tc>
          <w:tcPr>
            <w:tcW w:type="dxa" w:w="2160"/>
          </w:tcPr>
          <w:p>
            <w:r>
              <w:t>0.0003</w:t>
            </w:r>
          </w:p>
        </w:tc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pPr>
        <w:pStyle w:val="Heading1"/>
      </w:pPr>
      <w:r>
        <w:t>3. Bootstrap Confidence Intervals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 Tier</w:t>
            </w:r>
          </w:p>
        </w:tc>
        <w:tc>
          <w:tcPr>
            <w:tcW w:type="dxa" w:w="1728"/>
          </w:tcPr>
          <w:p>
            <w:r>
              <w:t>N Accounts</w:t>
            </w:r>
          </w:p>
        </w:tc>
        <w:tc>
          <w:tcPr>
            <w:tcW w:type="dxa" w:w="1728"/>
          </w:tcPr>
          <w:p>
            <w:r>
              <w:t>Observed Bad Rate Pct</w:t>
            </w:r>
          </w:p>
        </w:tc>
        <w:tc>
          <w:tcPr>
            <w:tcW w:type="dxa" w:w="1728"/>
          </w:tcPr>
          <w:p>
            <w:r>
              <w:t>Ci Lower Pct</w:t>
            </w:r>
          </w:p>
        </w:tc>
        <w:tc>
          <w:tcPr>
            <w:tcW w:type="dxa" w:w="1728"/>
          </w:tcPr>
          <w:p>
            <w:r>
              <w:t>Ci Upper Pct</w:t>
            </w:r>
          </w:p>
        </w:tc>
      </w:tr>
      <w:tr>
        <w:tc>
          <w:tcPr>
            <w:tcW w:type="dxa" w:w="1728"/>
          </w:tcPr>
          <w:p>
            <w:r>
              <w:t>Prime</w:t>
            </w:r>
          </w:p>
        </w:tc>
        <w:tc>
          <w:tcPr>
            <w:tcW w:type="dxa" w:w="1728"/>
          </w:tcPr>
          <w:p>
            <w:r>
              <w:t>50264</w:t>
            </w:r>
          </w:p>
        </w:tc>
        <w:tc>
          <w:tcPr>
            <w:tcW w:type="dxa" w:w="1728"/>
          </w:tcPr>
          <w:p>
            <w:r>
              <w:t>0.76</w:t>
            </w:r>
          </w:p>
        </w:tc>
        <w:tc>
          <w:tcPr>
            <w:tcW w:type="dxa" w:w="1728"/>
          </w:tcPr>
          <w:p>
            <w:r>
              <w:t>0.686</w:t>
            </w:r>
          </w:p>
        </w:tc>
        <w:tc>
          <w:tcPr>
            <w:tcW w:type="dxa" w:w="1728"/>
          </w:tcPr>
          <w:p>
            <w:r>
              <w:t>0.838</w:t>
            </w:r>
          </w:p>
        </w:tc>
      </w:tr>
      <w:tr>
        <w:tc>
          <w:tcPr>
            <w:tcW w:type="dxa" w:w="1728"/>
          </w:tcPr>
          <w:p>
            <w:r>
              <w:t>Near-Prime</w:t>
            </w:r>
          </w:p>
        </w:tc>
        <w:tc>
          <w:tcPr>
            <w:tcW w:type="dxa" w:w="1728"/>
          </w:tcPr>
          <w:p>
            <w:r>
              <w:t>7013</w:t>
            </w:r>
          </w:p>
        </w:tc>
        <w:tc>
          <w:tcPr>
            <w:tcW w:type="dxa" w:w="1728"/>
          </w:tcPr>
          <w:p>
            <w:r>
              <w:t>9.454</w:t>
            </w:r>
          </w:p>
        </w:tc>
        <w:tc>
          <w:tcPr>
            <w:tcW w:type="dxa" w:w="1728"/>
          </w:tcPr>
          <w:p>
            <w:r>
              <w:t>8.755</w:t>
            </w:r>
          </w:p>
        </w:tc>
        <w:tc>
          <w:tcPr>
            <w:tcW w:type="dxa" w:w="1728"/>
          </w:tcPr>
          <w:p>
            <w:r>
              <w:t>10.11</w:t>
            </w:r>
          </w:p>
        </w:tc>
      </w:tr>
      <w:tr>
        <w:tc>
          <w:tcPr>
            <w:tcW w:type="dxa" w:w="1728"/>
          </w:tcPr>
          <w:p>
            <w:r>
              <w:t>Subprime</w:t>
            </w:r>
          </w:p>
        </w:tc>
        <w:tc>
          <w:tcPr>
            <w:tcW w:type="dxa" w:w="1728"/>
          </w:tcPr>
          <w:p>
            <w:r>
              <w:t>6694</w:t>
            </w:r>
          </w:p>
        </w:tc>
        <w:tc>
          <w:tcPr>
            <w:tcW w:type="dxa" w:w="1728"/>
          </w:tcPr>
          <w:p>
            <w:r>
              <w:t>24.813</w:t>
            </w:r>
          </w:p>
        </w:tc>
        <w:tc>
          <w:tcPr>
            <w:tcW w:type="dxa" w:w="1728"/>
          </w:tcPr>
          <w:p>
            <w:r>
              <w:t>23.842</w:t>
            </w:r>
          </w:p>
        </w:tc>
        <w:tc>
          <w:tcPr>
            <w:tcW w:type="dxa" w:w="1728"/>
          </w:tcPr>
          <w:p>
            <w:r>
              <w:t>25.844</w:t>
            </w:r>
          </w:p>
        </w:tc>
      </w:tr>
      <w:tr>
        <w:tc>
          <w:tcPr>
            <w:tcW w:type="dxa" w:w="1728"/>
          </w:tcPr>
          <w:p>
            <w:r>
              <w:t>High Risk</w:t>
            </w:r>
          </w:p>
        </w:tc>
        <w:tc>
          <w:tcPr>
            <w:tcW w:type="dxa" w:w="1728"/>
          </w:tcPr>
          <w:p>
            <w:r>
              <w:t>27812</w:t>
            </w:r>
          </w:p>
        </w:tc>
        <w:tc>
          <w:tcPr>
            <w:tcW w:type="dxa" w:w="1728"/>
          </w:tcPr>
          <w:p>
            <w:r>
              <w:t>75.723</w:t>
            </w:r>
          </w:p>
        </w:tc>
        <w:tc>
          <w:tcPr>
            <w:tcW w:type="dxa" w:w="1728"/>
          </w:tcPr>
          <w:p>
            <w:r>
              <w:t>75.248</w:t>
            </w:r>
          </w:p>
        </w:tc>
        <w:tc>
          <w:tcPr>
            <w:tcW w:type="dxa" w:w="1728"/>
          </w:tcPr>
          <w:p>
            <w:r>
              <w:t>76.219</w:t>
            </w:r>
          </w:p>
        </w:tc>
      </w:tr>
    </w:tbl>
    <w:p>
      <w:pPr>
        <w:pStyle w:val="Heading1"/>
      </w:pPr>
      <w:r>
        <w:t>4. Honest Limitation -- Fair-Lending / ECOA / Regulation B</w:t>
      </w:r>
    </w:p>
    <w:p>
      <w:r>
        <w:t>Scope: Genuine disparate-impact / adverse-impact testing under the Equal Credit Opportunity Act (ECOA) and Regulation B requires real demographic and protected-class attributes (e.g. race, ethnicity, sex, age, national origin) linked to each account.</w:t>
      </w:r>
    </w:p>
    <w:p>
      <w:r>
        <w:t>Dataset Gap: The Kaggle American Express Default Prediction dataset used throughout this platform carries no demographic or protected-class fields of any kind -- only anonymized behavioral and payment features.</w:t>
      </w:r>
    </w:p>
    <w:p>
      <w:r>
        <w:t>What This Notebook Does Not Do: It does not fabricate a proxy fairness test, does not simulate synthetic demographic labels, and does not claim any prior notebook in this platform (including Notebook 07's independent model validation) has already performed genuine fair-lending testing -- it has not.</w:t>
      </w:r>
    </w:p>
    <w:p>
      <w:r>
        <w:t>What A Real Deployment Would Require: Before this risk-tier scheme could be used for real underwriting decisions, a real institution would need: (1) lawfully collected demographic data (e.g. via BISG proxy methodology or direct self-report, per CFPB guidance), (2) a disparate-impact analysis comparing tier assignment and approval rates across protected classes, and (3) legal/compliance sign-off before production use.</w:t>
      </w:r>
    </w:p>
    <w:p>
      <w:pPr>
        <w:pStyle w:val="Heading1"/>
      </w:pPr>
      <w:r>
        <w:t>5. Governance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Tier Policy Documentation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risk_tier_policy.json (Notebook 19)</w:t>
            </w:r>
          </w:p>
        </w:tc>
      </w:tr>
      <w:tr>
        <w:tc>
          <w:tcPr>
            <w:tcW w:type="dxa" w:w="2880"/>
          </w:tcPr>
          <w:p>
            <w:r>
              <w:t>Independent Statistical Backtesting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chi-square p=0.00e+00 (this run)</w:t>
            </w:r>
          </w:p>
        </w:tc>
      </w:tr>
      <w:tr>
        <w:tc>
          <w:tcPr>
            <w:tcW w:type="dxa" w:w="2880"/>
          </w:tcPr>
          <w:p>
            <w:r>
              <w:t>Rank-Ordering Validation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Spearman rho=0.727, p=0.00e+00 (this run)</w:t>
            </w:r>
          </w:p>
        </w:tc>
      </w:tr>
      <w:tr>
        <w:tc>
          <w:tcPr>
            <w:tcW w:type="dxa" w:w="2880"/>
          </w:tcPr>
          <w:p>
            <w:r>
              <w:t>Confidence Interval Separation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2,000-resample bootstrap, adjacent tiers non-overlapping (this run)</w:t>
            </w:r>
          </w:p>
        </w:tc>
      </w:tr>
      <w:tr>
        <w:tc>
          <w:tcPr>
            <w:tcW w:type="dxa" w:w="2880"/>
          </w:tcPr>
          <w:p>
            <w:r>
              <w:t>Population Stability (Split-Half Proxy)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business_rule PSI=0.000, quantile PSI=0.000 (this run)</w:t>
            </w:r>
          </w:p>
        </w:tc>
      </w:tr>
      <w:tr>
        <w:tc>
          <w:tcPr>
            <w:tcW w:type="dxa" w:w="2880"/>
          </w:tcPr>
          <w:p>
            <w:r>
              <w:t>Fair-Lending / Disparate-Impact Testing</w:t>
            </w:r>
          </w:p>
        </w:tc>
        <w:tc>
          <w:tcPr>
            <w:tcW w:type="dxa" w:w="2880"/>
          </w:tcPr>
          <w:p>
            <w:r>
              <w:t>Not Possible -- Data Limitation</w:t>
            </w:r>
          </w:p>
        </w:tc>
        <w:tc>
          <w:tcPr>
            <w:tcW w:type="dxa" w:w="2880"/>
          </w:tcPr>
          <w:p>
            <w:r>
              <w:t>No protected-class data in source dataset -- see Section 9</w:t>
            </w:r>
          </w:p>
        </w:tc>
      </w:tr>
      <w:tr>
        <w:tc>
          <w:tcPr>
            <w:tcW w:type="dxa" w:w="2880"/>
          </w:tcPr>
          <w:p>
            <w:r>
              <w:t>Independent Model Validation Upstream (Problem 1)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Notebook 07 (SR 11-7-aligned) completed for the underlying PD model</w:t>
            </w:r>
          </w:p>
        </w:tc>
      </w:tr>
      <w:tr>
        <w:tc>
          <w:tcPr>
            <w:tcW w:type="dxa" w:w="2880"/>
          </w:tcPr>
          <w:p>
            <w:r>
              <w:t>Ongoing Monitoring Plan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Deferred to Notebook 23 (Risk Tier Monitoring)</w:t>
            </w:r>
          </w:p>
        </w:tc>
      </w:tr>
    </w:tbl>
    <w:p>
      <w:pPr>
        <w:pStyle w:val="Heading1"/>
      </w:pPr>
      <w:r>
        <w:t>6. Charts</w:t>
      </w:r>
    </w:p>
    <w:p>
      <w:r>
        <w:drawing>
          <wp:inline xmlns:a="http://schemas.openxmlformats.org/drawingml/2006/main" xmlns:pic="http://schemas.openxmlformats.org/drawingml/2006/picture">
            <wp:extent cx="54864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d_rate_confidence_interval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Bad rate by tier with 95% bootstrap CIs</w:t>
      </w:r>
    </w:p>
    <w:p>
      <w:r>
        <w:drawing>
          <wp:inline xmlns:a="http://schemas.openxmlformats.org/drawingml/2006/main" xmlns:pic="http://schemas.openxmlformats.org/drawingml/2006/picture">
            <wp:extent cx="5486400" cy="4310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_comparison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PSI comparison, both methods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