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2, Problem 3: Expected Credit Loss (IFRS9/CECL) -- Business Understanding &amp; ECL Policy Charter</w:t>
      </w:r>
    </w:p>
    <w:p>
      <w:pPr/>
      <w:r>
        <w:t>Project Portfolio Prepared By Nandagopal R</w:t>
      </w:r>
    </w:p>
    <w:p>
      <w:r>
        <w:t>Generated: 2026-08-24 17:51</w:t>
      </w:r>
    </w:p>
    <w:p>
      <w:pPr>
        <w:pStyle w:val="Heading1"/>
      </w:pPr>
      <w:r>
        <w:t>1. Problem Statement</w:t>
      </w:r>
    </w:p>
    <w:p>
      <w:r>
        <w:t>Notebook 08 computes Expected Credit Loss with a single flat 45% LGD for every defaulter and assigns IFRS9 Stage 3 using the real, already-known holdout outcome -- both explicitly flagged there as shortcuts. Problem 3 replaces the flat LGD with Problem 4's real tier-differentiated LGD, and replaces outcome-based staging with a rubric built entirely from signals available BEFORE default (real PD, real severity tier) -- the known outcome is used only afterward, to validate that result, never to assign it. Problem 3 also computes both IFRS9 (staged) and CECL (lifetime, unstaged) ECL from the same real inputs, and adds the forward-looking macro overlay and discounting both standards require.</w:t>
      </w:r>
    </w:p>
    <w:p>
      <w:pPr>
        <w:pStyle w:val="Heading1"/>
      </w:pPr>
      <w:r>
        <w:t>2. KPI Tree</w:t>
      </w:r>
    </w:p>
    <w:p>
      <w:pPr>
        <w:pStyle w:val="ListBullet"/>
      </w:pPr>
      <w:r>
        <w:t>Outcome-free staging: every stage assignment must be computable from information available before default (PD, severity tier) -- the real observed default label is used only to VALIDATE staging afterward, never to assign it.</w:t>
      </w:r>
    </w:p>
    <w:p>
      <w:pPr>
        <w:pStyle w:val="ListBullet"/>
      </w:pPr>
      <w:r>
        <w:t>Rank-ordering / monotonicity: real observed default rate must increase strictly from Stage 1 to Stage 3 -- a non-monotonic scheme cannot justify differentiated provisioning.</w:t>
      </w:r>
    </w:p>
    <w:p>
      <w:pPr>
        <w:pStyle w:val="ListBullet"/>
      </w:pPr>
      <w:r>
        <w:t>Methodological transparency: every dollar in the final ECL must trace to either a real, live-measured input (PD, tier, population counts) or an explicit, separately-labeled ASSUMPTION (LGD dollars, EAD, lifetime-PD approximation, discount rate, macro scenario weights).</w:t>
      </w:r>
    </w:p>
    <w:p>
      <w:pPr>
        <w:pStyle w:val="ListBullet"/>
      </w:pPr>
      <w:r>
        <w:t>Standard comparability: IFRS9 (staged) and CECL (lifetime-for-all) ECL must both be computed from the identical real inputs, so the reported gap between them reflects the accounting standard, not a difference in underlying data.</w:t>
      </w:r>
    </w:p>
    <w:p>
      <w:pPr>
        <w:pStyle w:val="Heading1"/>
      </w:pPr>
      <w:r>
        <w:t>3. Staging Criteria (outcome-free by design)</w:t>
      </w:r>
    </w:p>
    <w:p>
      <w:r>
        <w:t>Outcome-free by design: every criterion below uses only signals a real institution has BEFORE a default happens (real PD from Problem 1, real escalation severity tier from Problem 4). The real observed default label is used later, in Notebook 31, only to VALIDATE that the resulting stages rank-order with real outcomes -- never to decide a stage. This is the specific shortcut Notebook 08 took and flagged (its Stage 3 used the real known outcome directly) -- this policy does not take it.</w:t>
      </w:r>
    </w:p>
    <w:tbl>
      <w:tblPr>
        <w:tblStyle w:val="LightGrid-Accent1"/>
        <w:tblW w:type="auto" w:w="0"/>
        <w:tblLook w:firstColumn="1" w:firstRow="1" w:lastColumn="0" w:lastRow="0" w:noHBand="0" w:noVBand="1" w:val="04A0"/>
      </w:tblPr>
      <w:tblGrid>
        <w:gridCol w:w="4320"/>
        <w:gridCol w:w="4320"/>
      </w:tblGrid>
      <w:tr>
        <w:tc>
          <w:tcPr>
            <w:tcW w:type="dxa" w:w="4320"/>
          </w:tcPr>
          <w:p>
            <w:r>
              <w:t>Stage 1 (Performing)</w:t>
            </w:r>
          </w:p>
        </w:tc>
        <w:tc>
          <w:tcPr>
            <w:tcW w:type="dxa" w:w="4320"/>
          </w:tcPr>
          <w:p>
            <w:r>
              <w:t>Not Stage 2 or Stage 3 (see below).</w:t>
            </w:r>
          </w:p>
        </w:tc>
      </w:tr>
      <w:tr>
        <w:tc>
          <w:tcPr>
            <w:tcW w:type="dxa" w:w="4320"/>
          </w:tcPr>
          <w:p>
            <w:r>
              <w:t>Stage 2 (Sicr)</w:t>
            </w:r>
          </w:p>
        </w:tc>
        <w:tc>
          <w:tcPr>
            <w:tcW w:type="dxa" w:w="4320"/>
          </w:tcPr>
          <w:p>
            <w:r>
              <w:t>PD &gt; sicr_pd_multiple (below) times the portfolio-average PD, OR severity tier is Moderate or Severe (Problem 4). Either condition alone is a real, pre-default signal of significant increase in credit risk.</w:t>
            </w:r>
          </w:p>
        </w:tc>
      </w:tr>
      <w:tr>
        <w:tc>
          <w:tcPr>
            <w:tcW w:type="dxa" w:w="4320"/>
          </w:tcPr>
          <w:p>
            <w:r>
              <w:t>Stage 3 (Credit-Impaired)</w:t>
            </w:r>
          </w:p>
        </w:tc>
        <w:tc>
          <w:tcPr>
            <w:tcW w:type="dxa" w:w="4320"/>
          </w:tcPr>
          <w:p>
            <w:r>
              <w:t>Severity tier is Severe AND PD &gt; stage3_pd_threshold (below) -- an absolute, not relative, threshold; both conditions together are a defensible outcome-free proxy for objective evidence of impairment.</w:t>
            </w:r>
          </w:p>
        </w:tc>
      </w:tr>
      <w:tr>
        <w:tc>
          <w:tcPr>
            <w:tcW w:type="dxa" w:w="4320"/>
          </w:tcPr>
          <w:p>
            <w:r>
              <w:t>Sicr Pd Multiple (Assumption)</w:t>
            </w:r>
          </w:p>
        </w:tc>
        <w:tc>
          <w:tcPr>
            <w:tcW w:type="dxa" w:w="4320"/>
          </w:tcPr>
          <w:p>
            <w:r>
              <w:t>3.0</w:t>
            </w:r>
          </w:p>
        </w:tc>
      </w:tr>
      <w:tr>
        <w:tc>
          <w:tcPr>
            <w:tcW w:type="dxa" w:w="4320"/>
          </w:tcPr>
          <w:p>
            <w:r>
              <w:t>Stage 3 Pd Threshold (Assumption)</w:t>
            </w:r>
          </w:p>
        </w:tc>
        <w:tc>
          <w:tcPr>
            <w:tcW w:type="dxa" w:w="4320"/>
          </w:tcPr>
          <w:p>
            <w:r>
              <w:t>0.5</w:t>
            </w:r>
          </w:p>
        </w:tc>
      </w:tr>
    </w:tbl>
    <w:p>
      <w:pPr>
        <w:pStyle w:val="Heading1"/>
      </w:pPr>
      <w:r>
        <w:t>4. LGD by Tier (real, from Problem 4)</w:t>
      </w:r>
    </w:p>
    <w:p>
      <w:r>
        <w:t>Real values, read programmatically from Problem 4's lgd_policy.json -- not re-typed or re-invented here.</w:t>
      </w:r>
    </w:p>
    <w:tbl>
      <w:tblPr>
        <w:tblStyle w:val="LightGrid-Accent1"/>
        <w:tblW w:type="auto" w:w="0"/>
        <w:tblLook w:firstColumn="1" w:firstRow="1" w:lastColumn="0" w:lastRow="0" w:noHBand="0" w:noVBand="1" w:val="04A0"/>
      </w:tblPr>
      <w:tblGrid>
        <w:gridCol w:w="4320"/>
        <w:gridCol w:w="4320"/>
      </w:tblGrid>
      <w:tr>
        <w:tc>
          <w:tcPr>
            <w:tcW w:type="dxa" w:w="4320"/>
          </w:tcPr>
          <w:p>
            <w:r>
              <w:t>Tier</w:t>
            </w:r>
          </w:p>
        </w:tc>
        <w:tc>
          <w:tcPr>
            <w:tcW w:type="dxa" w:w="4320"/>
          </w:tcPr>
          <w:p>
            <w:r>
              <w:t>Lgd</w:t>
            </w:r>
          </w:p>
        </w:tc>
      </w:tr>
      <w:tr>
        <w:tc>
          <w:tcPr>
            <w:tcW w:type="dxa" w:w="4320"/>
          </w:tcPr>
          <w:p>
            <w:r>
              <w:t>Low Severity</w:t>
            </w:r>
          </w:p>
        </w:tc>
        <w:tc>
          <w:tcPr>
            <w:tcW w:type="dxa" w:w="4320"/>
          </w:tcPr>
          <w:p>
            <w:r>
              <w:t>0.3015</w:t>
            </w:r>
          </w:p>
        </w:tc>
      </w:tr>
      <w:tr>
        <w:tc>
          <w:tcPr>
            <w:tcW w:type="dxa" w:w="4320"/>
          </w:tcPr>
          <w:p>
            <w:r>
              <w:t>Moderate Severity</w:t>
            </w:r>
          </w:p>
        </w:tc>
        <w:tc>
          <w:tcPr>
            <w:tcW w:type="dxa" w:w="4320"/>
          </w:tcPr>
          <w:p>
            <w:r>
              <w:t>0.45</w:t>
            </w:r>
          </w:p>
        </w:tc>
      </w:tr>
      <w:tr>
        <w:tc>
          <w:tcPr>
            <w:tcW w:type="dxa" w:w="4320"/>
          </w:tcPr>
          <w:p>
            <w:r>
              <w:t>Severe</w:t>
            </w:r>
          </w:p>
        </w:tc>
        <w:tc>
          <w:tcPr>
            <w:tcW w:type="dxa" w:w="4320"/>
          </w:tcPr>
          <w:p>
            <w:r>
              <w:t>0.648</w:t>
            </w:r>
          </w:p>
        </w:tc>
      </w:tr>
    </w:tbl>
    <w:p>
      <w:pPr>
        <w:pStyle w:val="Heading1"/>
      </w:pPr>
      <w:r>
        <w:t>5. Lifetime PD, Discount Rate &amp; Macro Overlay (ASSUMPTION)</w:t>
      </w:r>
    </w:p>
    <w:p>
      <w:r>
        <w:t>ASSUMPTION -- lifetime PD approximated as min(1, PD_12m * lifetime_pd_multiplier), the same illustrative approach Notebook 08 used (no PD term-structure data exists in this single-snapshot dataset to fit a real survival curve).</w:t>
      </w:r>
    </w:p>
    <w:p>
      <w:r>
        <w:t>ASSUMPTION -- effective interest rate (EIR) used to discount expected cash shortfalls to present value (IFRS9 §5.5.17); dataset has no real EIR, so a representative unsecured-revolving-credit annual rate is used. Discounting needs a TIME as well as a rate -- Stage 1's 12-month loss is discounted from the mid-point of the 12-month collection window (a standard simplifying convention); Stage 2/3's lifetime loss is discounted from an average-remaining-life ASSUMPTION, since this dataset has no real account-tenure data to compute one.</w:t>
      </w:r>
    </w:p>
    <w:p>
      <w:r>
        <w:t>ASSUMPTION -- forward-looking macroeconomic scenario weighting, required by both IFRS9 §5.5.17(c) and CECL's forward-looking-information requirement. No real macro data feed exists for this dataset, so probability-weighted PD multipliers stand in for a real macro model's output -- editable to one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Probability</w:t>
            </w:r>
          </w:p>
        </w:tc>
        <w:tc>
          <w:tcPr>
            <w:tcW w:type="dxa" w:w="2880"/>
          </w:tcPr>
          <w:p>
            <w:r>
              <w:t>Pd Multiplier</w:t>
            </w:r>
          </w:p>
        </w:tc>
      </w:tr>
      <w:tr>
        <w:tc>
          <w:tcPr>
            <w:tcW w:type="dxa" w:w="2880"/>
          </w:tcPr>
          <w:p>
            <w:r>
              <w:t>Upside</w:t>
            </w:r>
          </w:p>
        </w:tc>
        <w:tc>
          <w:tcPr>
            <w:tcW w:type="dxa" w:w="2880"/>
          </w:tcPr>
          <w:p>
            <w:r>
              <w:t>0.2</w:t>
            </w:r>
          </w:p>
        </w:tc>
        <w:tc>
          <w:tcPr>
            <w:tcW w:type="dxa" w:w="2880"/>
          </w:tcPr>
          <w:p>
            <w:r>
              <w:t>0.85</w:t>
            </w:r>
          </w:p>
        </w:tc>
      </w:tr>
      <w:tr>
        <w:tc>
          <w:tcPr>
            <w:tcW w:type="dxa" w:w="2880"/>
          </w:tcPr>
          <w:p>
            <w:r>
              <w:t>Baseline</w:t>
            </w:r>
          </w:p>
        </w:tc>
        <w:tc>
          <w:tcPr>
            <w:tcW w:type="dxa" w:w="2880"/>
          </w:tcPr>
          <w:p>
            <w:r>
              <w:t>0.5</w:t>
            </w:r>
          </w:p>
        </w:tc>
        <w:tc>
          <w:tcPr>
            <w:tcW w:type="dxa" w:w="2880"/>
          </w:tcPr>
          <w:p>
            <w:r>
              <w:t>1.0</w:t>
            </w:r>
          </w:p>
        </w:tc>
      </w:tr>
      <w:tr>
        <w:tc>
          <w:tcPr>
            <w:tcW w:type="dxa" w:w="2880"/>
          </w:tcPr>
          <w:p>
            <w:r>
              <w:t>Downside</w:t>
            </w:r>
          </w:p>
        </w:tc>
        <w:tc>
          <w:tcPr>
            <w:tcW w:type="dxa" w:w="2880"/>
          </w:tcPr>
          <w:p>
            <w:r>
              <w:t>0.3</w:t>
            </w:r>
          </w:p>
        </w:tc>
        <w:tc>
          <w:tcPr>
            <w:tcW w:type="dxa" w:w="2880"/>
          </w:tcPr>
          <w:p>
            <w:r>
              <w:t>1.35</w:t>
            </w:r>
          </w:p>
        </w:tc>
      </w:tr>
    </w:tbl>
    <w:p>
      <w:pPr>
        <w:pStyle w:val="Heading1"/>
      </w:pPr>
      <w:r>
        <w:t>6. KPI Targets (ASSUMPTION)</w:t>
      </w:r>
    </w:p>
    <w:tbl>
      <w:tblPr>
        <w:tblStyle w:val="LightGrid-Accent1"/>
        <w:tblW w:type="auto" w:w="0"/>
        <w:tblLook w:firstColumn="1" w:firstRow="1" w:lastColumn="0" w:lastRow="0" w:noHBand="0" w:noVBand="1" w:val="04A0"/>
      </w:tblPr>
      <w:tblGrid>
        <w:gridCol w:w="4320"/>
        <w:gridCol w:w="4320"/>
      </w:tblGrid>
      <w:tr>
        <w:tc>
          <w:tcPr>
            <w:tcW w:type="dxa" w:w="4320"/>
          </w:tcPr>
          <w:p>
            <w:r>
              <w:t>Require Strict Monotonicity Default Rate By Stage</w:t>
            </w:r>
          </w:p>
        </w:tc>
        <w:tc>
          <w:tcPr>
            <w:tcW w:type="dxa" w:w="4320"/>
          </w:tcPr>
          <w:p>
            <w:r>
              <w:t>True</w:t>
            </w:r>
          </w:p>
        </w:tc>
      </w:tr>
      <w:tr>
        <w:tc>
          <w:tcPr>
            <w:tcW w:type="dxa" w:w="4320"/>
          </w:tcPr>
          <w:p>
            <w:r>
              <w:t>Min Stage3 Population Pct</w:t>
            </w:r>
          </w:p>
        </w:tc>
        <w:tc>
          <w:tcPr>
            <w:tcW w:type="dxa" w:w="4320"/>
          </w:tcPr>
          <w:p>
            <w:r>
              <w:t>0.5</w:t>
            </w:r>
          </w:p>
        </w:tc>
      </w:tr>
      <w:tr>
        <w:tc>
          <w:tcPr>
            <w:tcW w:type="dxa" w:w="4320"/>
          </w:tcPr>
          <w:p>
            <w:r>
              <w:t>Max Stage3 Population Pct</w:t>
            </w:r>
          </w:p>
        </w:tc>
        <w:tc>
          <w:tcPr>
            <w:tcW w:type="dxa" w:w="4320"/>
          </w:tcPr>
          <w:p>
            <w:r>
              <w:t>25.0</w:t>
            </w:r>
          </w:p>
        </w:tc>
      </w:tr>
    </w:tbl>
    <w:p>
      <w:pPr>
        <w:pStyle w:val="Heading1"/>
      </w:pPr>
      <w:r>
        <w:t>7. Stakeholder Analysis</w:t>
      </w:r>
    </w:p>
    <w:tbl>
      <w:tblPr>
        <w:tblStyle w:val="LightGrid-Accent1"/>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Interest</w:t>
            </w:r>
          </w:p>
        </w:tc>
      </w:tr>
      <w:tr>
        <w:tc>
          <w:tcPr>
            <w:tcW w:type="dxa" w:w="4320"/>
          </w:tcPr>
          <w:p>
            <w:r>
              <w:t>Finance / Provisioning</w:t>
            </w:r>
          </w:p>
        </w:tc>
        <w:tc>
          <w:tcPr>
            <w:tcW w:type="dxa" w:w="4320"/>
          </w:tcPr>
          <w:p>
            <w:r>
              <w:t>The IFRS9 vs CECL ECL gap directly changes the quarterly reserve booked under each standard -- needs a defensible, auditable bridge between the two.</w:t>
            </w:r>
          </w:p>
        </w:tc>
      </w:tr>
      <w:tr>
        <w:tc>
          <w:tcPr>
            <w:tcW w:type="dxa" w:w="4320"/>
          </w:tcPr>
          <w:p>
            <w:r>
              <w:t>Regulatory Reporting / Basel Desk</w:t>
            </w:r>
          </w:p>
        </w:tc>
        <w:tc>
          <w:tcPr>
            <w:tcW w:type="dxa" w:w="4320"/>
          </w:tcPr>
          <w:p>
            <w:r>
              <w:t>Needs Notebook 08's flat-LGD Basel capital figures reconciled against this notebook's tier-LGD ECL -- both must trace to the same real PD.</w:t>
            </w:r>
          </w:p>
        </w:tc>
      </w:tr>
      <w:tr>
        <w:tc>
          <w:tcPr>
            <w:tcW w:type="dxa" w:w="4320"/>
          </w:tcPr>
          <w:p>
            <w:r>
              <w:t>Model Risk / Compliance (SR 11-7)</w:t>
            </w:r>
          </w:p>
        </w:tc>
        <w:tc>
          <w:tcPr>
            <w:tcW w:type="dxa" w:w="4320"/>
          </w:tcPr>
          <w:p>
            <w:r>
              <w:t>Needs the staging rubric documented as outcome-free (no reliance on the known label) before this feeds any regulatory-adjacent provisioning calculation -- exactly the gap this notebook closes versus Notebook 08.</w:t>
            </w:r>
          </w:p>
        </w:tc>
      </w:tr>
      <w:tr>
        <w:tc>
          <w:tcPr>
            <w:tcW w:type="dxa" w:w="4320"/>
          </w:tcPr>
          <w:p>
            <w:r>
              <w:t>Executive / CFO</w:t>
            </w:r>
          </w:p>
        </w:tc>
        <w:tc>
          <w:tcPr>
            <w:tcW w:type="dxa" w:w="4320"/>
          </w:tcPr>
          <w:p>
            <w:r>
              <w:t>Needs the dollar impact of moving from Notebook 08's flat LGD to Problem 4's tier-differentiated LGD, and the IFRS9-vs-CECL gap, stated in plain financial terms (Notebook 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Nandagopal R</dc:creator>
  <cp:keywords/>
  <dc:description>generated by python-docx</dc:description>
  <cp:lastModifiedBy>Nandagopal R</cp:lastModifiedBy>
  <cp:revision>1</cp:revision>
  <dcterms:created xsi:type="dcterms:W3CDTF">2013-12-23T23:15:00Z</dcterms:created>
  <dcterms:modified xsi:type="dcterms:W3CDTF">2013-12-23T23:15:00Z</dcterms:modified>
  <cp:category/>
</cp:coreProperties>
</file>