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2, Problem 3: Expected Credit Loss (IFRS9/CECL) -- Financial Impact Report</w:t>
      </w:r>
    </w:p>
    <w:p>
      <w:pPr/>
      <w:r>
        <w:t>Project Portfolio Prepared By Nandagopal R</w:t>
      </w:r>
    </w:p>
    <w:p>
      <w:r>
        <w:t>Generated: 2026-08-24 18:02</w:t>
      </w:r>
    </w:p>
    <w:p>
      <w:pPr>
        <w:pStyle w:val="Heading1"/>
      </w:pPr>
      <w:r>
        <w:t>1. Executive Summary</w:t>
      </w:r>
    </w:p>
    <w:p>
      <w:r>
        <w:t>An outcome-free IFRS9 staging rubric and tier-differentiated LGD (Notebooks 30-31), validated statistically and packaged as a self-tested standalone calculator (Notebook 32), was applied to 91,783 real holdout customers. Compared to Notebook 08's flat-LGD, outcome-based-staging approach, this changes recognized loss by $4,617,593 -- the flat-LGD, outcome-based-staging approach was UNDER-recognizing loss on this real holdout -- moving to tier-differentiated LGD with outcome-free staging surfaces regulatory/under-provisioning risk the flat approach was hiding. Reporting under CECL instead of IFRS9 would require an additional $603,424 day-one reserve. A CFO should hold a stress capital buffer of at least $3,715,620 for adverse macro conditions. Automating the dual-standard reconciliation and statistical re-validation this pipeline performs is estimated to pay back its $70,000 implementation cost in 8.4 months.</w:t>
      </w:r>
    </w:p>
    <w:p>
      <w:pPr>
        <w:pStyle w:val="Heading1"/>
      </w:pPr>
      <w:r>
        <w:t>2. Reserve &amp; Capital Impact: Flat vs IFRS9 vs CECL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Methodology</w:t>
            </w:r>
          </w:p>
        </w:tc>
        <w:tc>
          <w:tcPr>
            <w:tcW w:type="dxa" w:w="2880"/>
          </w:tcPr>
          <w:p>
            <w:r>
              <w:t>Total Ecl Usd</w:t>
            </w:r>
          </w:p>
        </w:tc>
        <w:tc>
          <w:tcPr>
            <w:tcW w:type="dxa" w:w="2880"/>
          </w:tcPr>
          <w:p>
            <w:r>
              <w:t>Delta Vs Notebook 08 Usd</w:t>
            </w:r>
          </w:p>
        </w:tc>
      </w:tr>
      <w:tr>
        <w:tc>
          <w:tcPr>
            <w:tcW w:type="dxa" w:w="2880"/>
          </w:tcPr>
          <w:p>
            <w:r>
              <w:t>Notebook 08: Basel/IFRS9, flat 45% LGD, outcome-based Stage 3</w:t>
            </w:r>
          </w:p>
        </w:tc>
        <w:tc>
          <w:tcPr>
            <w:tcW w:type="dxa" w:w="2880"/>
          </w:tcPr>
          <w:p>
            <w:r>
              <w:t>67830905.87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Notebook 31: IFRS9 staged, tier-LGD, outcome-free staging</w:t>
            </w:r>
          </w:p>
        </w:tc>
        <w:tc>
          <w:tcPr>
            <w:tcW w:type="dxa" w:w="2880"/>
          </w:tcPr>
          <w:p>
            <w:r>
              <w:t>72448498.95</w:t>
            </w:r>
          </w:p>
        </w:tc>
        <w:tc>
          <w:tcPr>
            <w:tcW w:type="dxa" w:w="2880"/>
          </w:tcPr>
          <w:p>
            <w:r>
              <w:t>4617593.07</w:t>
            </w:r>
          </w:p>
        </w:tc>
      </w:tr>
      <w:tr>
        <w:tc>
          <w:tcPr>
            <w:tcW w:type="dxa" w:w="2880"/>
          </w:tcPr>
          <w:p>
            <w:r>
              <w:t>Notebook 31: CECL lifetime-for-all, tier-LGD, no staging</w:t>
            </w:r>
          </w:p>
        </w:tc>
        <w:tc>
          <w:tcPr>
            <w:tcW w:type="dxa" w:w="2880"/>
          </w:tcPr>
          <w:p>
            <w:r>
              <w:t>73051922.57</w:t>
            </w:r>
          </w:p>
        </w:tc>
        <w:tc>
          <w:tcPr>
            <w:tcW w:type="dxa" w:w="2880"/>
          </w:tcPr>
          <w:p>
            <w:r>
              <w:t>5221016.69</w:t>
            </w:r>
          </w:p>
        </w:tc>
      </w:tr>
    </w:tbl>
    <w:p>
      <w:r>
        <w:t>Reserve change, IFRS9 vs flat baseline: $4,617,593  |  CECL vs IFRS9 day-one delta: $603,424</w:t>
      </w:r>
    </w:p>
    <w:p>
      <w:pPr>
        <w:pStyle w:val="Heading1"/>
      </w:pPr>
      <w:r>
        <w:t>3. Macro Stress Buffer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Pd Multiplier</w:t>
            </w:r>
          </w:p>
        </w:tc>
        <w:tc>
          <w:tcPr>
            <w:tcW w:type="dxa" w:w="2160"/>
          </w:tcPr>
          <w:p>
            <w:r>
              <w:t>Total Ecl Ifrs9 Usd</w:t>
            </w:r>
          </w:p>
        </w:tc>
      </w:tr>
      <w:tr>
        <w:tc>
          <w:tcPr>
            <w:tcW w:type="dxa" w:w="2160"/>
          </w:tcPr>
          <w:p>
            <w:r>
              <w:t>Upside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62509011.41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73540013.42</w:t>
            </w:r>
          </w:p>
        </w:tc>
      </w:tr>
      <w:tr>
        <w:tc>
          <w:tcPr>
            <w:tcW w:type="dxa" w:w="2160"/>
          </w:tcPr>
          <w:p>
            <w:r>
              <w:t>Downside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1.35</w:t>
            </w:r>
          </w:p>
        </w:tc>
        <w:tc>
          <w:tcPr>
            <w:tcW w:type="dxa" w:w="2160"/>
          </w:tcPr>
          <w:p>
            <w:r>
              <w:t>77255633.18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Recommended Stress Buffer Usd</w:t>
            </w:r>
          </w:p>
        </w:tc>
        <w:tc>
          <w:tcPr>
            <w:tcW w:type="dxa" w:w="4320"/>
          </w:tcPr>
          <w:p>
            <w:r>
              <w:t>$3,715,620</w:t>
            </w:r>
          </w:p>
        </w:tc>
      </w:tr>
      <w:tr>
        <w:tc>
          <w:tcPr>
            <w:tcW w:type="dxa" w:w="4320"/>
          </w:tcPr>
          <w:p>
            <w:r>
              <w:t>Upside Relief Usd</w:t>
            </w:r>
          </w:p>
        </w:tc>
        <w:tc>
          <w:tcPr>
            <w:tcW w:type="dxa" w:w="4320"/>
          </w:tcPr>
          <w:p>
            <w:r>
              <w:t>$11,031,002</w:t>
            </w:r>
          </w:p>
        </w:tc>
      </w:tr>
    </w:tbl>
    <w:p>
      <w:pPr>
        <w:pStyle w:val="Heading1"/>
      </w:pPr>
      <w:r>
        <w:t>4. Statistical Validation &amp; Deployment Readiness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Standalone calculator matches pipeline output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 xml:space="preserve">  - real (hard) mismatches</w:t>
            </w:r>
          </w:p>
        </w:tc>
        <w:tc>
          <w:tcPr>
            <w:tcW w:type="dxa" w:w="4320"/>
          </w:tcPr>
          <w:p>
            <w:r>
              <w:t>0 of 91,783</w:t>
            </w:r>
          </w:p>
        </w:tc>
      </w:tr>
      <w:tr>
        <w:tc>
          <w:tcPr>
            <w:tcW w:type="dxa" w:w="4320"/>
          </w:tcPr>
          <w:p>
            <w:r>
              <w:t xml:space="preserve">  - float-boundary ties (expected, not a defect)</w:t>
            </w:r>
          </w:p>
        </w:tc>
        <w:tc>
          <w:tcPr>
            <w:tcW w:type="dxa" w:w="4320"/>
          </w:tcPr>
          <w:p>
            <w:r>
              <w:t>0 (0.0000%)</w:t>
            </w:r>
          </w:p>
        </w:tc>
      </w:tr>
      <w:tr>
        <w:tc>
          <w:tcPr>
            <w:tcW w:type="dxa" w:w="4320"/>
          </w:tcPr>
          <w:p>
            <w:r>
              <w:t>Chi-square independence test</w:t>
            </w:r>
          </w:p>
        </w:tc>
        <w:tc>
          <w:tcPr>
            <w:tcW w:type="dxa" w:w="4320"/>
          </w:tcPr>
          <w:p>
            <w:r>
              <w:t>p=0.00e+00</w:t>
            </w:r>
          </w:p>
        </w:tc>
      </w:tr>
      <w:tr>
        <w:tc>
          <w:tcPr>
            <w:tcW w:type="dxa" w:w="4320"/>
          </w:tcPr>
          <w:p>
            <w:r>
              <w:t>Two-proportion z-test (Stage 3 vs Stage 1)</w:t>
            </w:r>
          </w:p>
        </w:tc>
        <w:tc>
          <w:tcPr>
            <w:tcW w:type="dxa" w:w="4320"/>
          </w:tcPr>
          <w:p>
            <w:r>
              <w:t>p=0.00e+00</w:t>
            </w:r>
          </w:p>
        </w:tc>
      </w:tr>
      <w:tr>
        <w:tc>
          <w:tcPr>
            <w:tcW w:type="dxa" w:w="4320"/>
          </w:tcPr>
          <w:p>
            <w:r>
              <w:t>Split-half PSI</w:t>
            </w:r>
          </w:p>
        </w:tc>
        <w:tc>
          <w:tcPr>
            <w:tcW w:type="dxa" w:w="4320"/>
          </w:tcPr>
          <w:p>
            <w:r>
              <w:t>0.0000 (stable)</w:t>
            </w:r>
          </w:p>
        </w:tc>
      </w:tr>
      <w:tr>
        <w:tc>
          <w:tcPr>
            <w:tcW w:type="dxa" w:w="4320"/>
          </w:tcPr>
          <w:p>
            <w:r>
              <w:t>Cramér's V effect size</w:t>
            </w:r>
          </w:p>
        </w:tc>
        <w:tc>
          <w:tcPr>
            <w:tcW w:type="dxa" w:w="4320"/>
          </w:tcPr>
          <w:p>
            <w:r>
              <w:t>0.7290</w:t>
            </w:r>
          </w:p>
        </w:tc>
      </w:tr>
    </w:tbl>
    <w:p>
      <w:pPr>
        <w:pStyle w:val="Heading1"/>
      </w:pPr>
      <w:r>
        <w:t>5. ROI, Investment &amp; Payback (Operational Efficiency)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Amount Invested Usd</w:t>
            </w:r>
          </w:p>
        </w:tc>
        <w:tc>
          <w:tcPr>
            <w:tcW w:type="dxa" w:w="4320"/>
          </w:tcPr>
          <w:p>
            <w:r>
              <w:t>$70,000</w:t>
            </w:r>
          </w:p>
        </w:tc>
      </w:tr>
      <w:tr>
        <w:tc>
          <w:tcPr>
            <w:tcW w:type="dxa" w:w="4320"/>
          </w:tcPr>
          <w:p>
            <w:r>
              <w:t>Annual Efficiency Benefit Usd</w:t>
            </w:r>
          </w:p>
        </w:tc>
        <w:tc>
          <w:tcPr>
            <w:tcW w:type="dxa" w:w="4320"/>
          </w:tcPr>
          <w:p>
            <w:r>
              <w:t>$100,000</w:t>
            </w:r>
          </w:p>
        </w:tc>
      </w:tr>
      <w:tr>
        <w:tc>
          <w:tcPr>
            <w:tcW w:type="dxa" w:w="4320"/>
          </w:tcPr>
          <w:p>
            <w:r>
              <w:t>Roi Year 1 Pct</w:t>
            </w:r>
          </w:p>
        </w:tc>
        <w:tc>
          <w:tcPr>
            <w:tcW w:type="dxa" w:w="4320"/>
          </w:tcPr>
          <w:p>
            <w:r>
              <w:t>43%</w:t>
            </w:r>
          </w:p>
        </w:tc>
      </w:tr>
      <w:tr>
        <w:tc>
          <w:tcPr>
            <w:tcW w:type="dxa" w:w="4320"/>
          </w:tcPr>
          <w:p>
            <w:r>
              <w:t>Payback Period Months</w:t>
            </w:r>
          </w:p>
        </w:tc>
        <w:tc>
          <w:tcPr>
            <w:tcW w:type="dxa" w:w="4320"/>
          </w:tcPr>
          <w:p>
            <w:r>
              <w:t>8.4</w:t>
            </w:r>
          </w:p>
        </w:tc>
      </w:tr>
    </w:tbl>
    <w:p>
      <w:pPr>
        <w:pStyle w:val="Heading1"/>
      </w:pPr>
      <w:r>
        <w:t>6. SMART Suggestions by Organizational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 Level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Risk / Quant Analyst</w:t>
            </w:r>
          </w:p>
        </w:tc>
        <w:tc>
          <w:tcPr>
            <w:tcW w:type="dxa" w:w="4320"/>
          </w:tcPr>
          <w:p>
            <w:r>
              <w:t>Re-run Notebooks 30-32 each time Problem 1's champion model or Problem 4's severity tiers refresh; monitor the split-half PSI (last measured 0.0000, 'stable') and re-validate staging if it exceeds 0.10 for two consecutive cycles.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File this notebook's chi-square (p=0.0e+00) and z-test (p=0.0e+00) results, plus the standalone calculator's 91783/91783 self-test pass, with the model's annual validation packet; re-certify before any change to the frozen ecl_scoring_bundle.json.</w:t>
            </w:r>
          </w:p>
        </w:tc>
      </w:tr>
      <w:tr>
        <w:tc>
          <w:tcPr>
            <w:tcW w:type="dxa" w:w="4320"/>
          </w:tcPr>
          <w:p>
            <w:r>
              <w:t>Finance / Provisioning</w:t>
            </w:r>
          </w:p>
        </w:tc>
        <w:tc>
          <w:tcPr>
            <w:tcW w:type="dxa" w:w="4320"/>
          </w:tcPr>
          <w:p>
            <w:r>
              <w:t>Update the quarterly provisioning workbook to book IFRS9-staged reserve of $72,448,499 (a $4,617,593 change from the flat-LGD baseline); if reporting under US GAAP, additionally plan for the $603,424 CECL day-one reserve build.</w:t>
            </w:r>
          </w:p>
        </w:tc>
      </w:tr>
      <w:tr>
        <w:tc>
          <w:tcPr>
            <w:tcW w:type="dxa" w:w="4320"/>
          </w:tcPr>
          <w:p>
            <w:r>
              <w:t>Regulatory Reporting / Basel Desk</w:t>
            </w:r>
          </w:p>
        </w:tc>
        <w:tc>
          <w:tcPr>
            <w:tcW w:type="dxa" w:w="4320"/>
          </w:tcPr>
          <w:p>
            <w:r>
              <w:t>Reconcile this notebook's tier-LGD, outcome-free-staged ECL against Notebook 08's flat-LGD Basel capital figures each cycle -- both trace to the same real champion PD model ('xgboost'); document the $4,617,593 reconciling difference in the regulatory capital workpapers.</w:t>
            </w:r>
          </w:p>
        </w:tc>
      </w:tr>
      <w:tr>
        <w:tc>
          <w:tcPr>
            <w:tcW w:type="dxa" w:w="4320"/>
          </w:tcPr>
          <w:p>
            <w:r>
              <w:t>Executive / CFO</w:t>
            </w:r>
          </w:p>
        </w:tc>
        <w:tc>
          <w:tcPr>
            <w:tcW w:type="dxa" w:w="4320"/>
          </w:tcPr>
          <w:p>
            <w:r>
              <w:t>Hold a stress capital buffer of at least $3,715,620 above the probability-blended IFRS9 reserve for adverse macro conditions (Notebook 32's Downside scenario); approve the $70,000 automation investment given an estimated 8.4-month payback and 43% Year-1 efficiency ROI.</w:t>
            </w:r>
          </w:p>
        </w:tc>
      </w:tr>
    </w:tbl>
    <w:p>
      <w:pPr>
        <w:pStyle w:val="Heading1"/>
      </w:pPr>
      <w:r>
        <w:t>7. Assumptions &amp;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ead_per_account_usd</w:t>
            </w:r>
          </w:p>
        </w:tc>
        <w:tc>
          <w:tcPr>
            <w:tcW w:type="dxa" w:w="2880"/>
          </w:tcPr>
          <w:p>
            <w:r>
              <w:t>5000.0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baseline_flat_lgd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analyst_hours_saved_per_cycle</w:t>
            </w:r>
          </w:p>
        </w:tc>
        <w:tc>
          <w:tcPr>
            <w:tcW w:type="dxa" w:w="2880"/>
          </w:tcPr>
          <w:p>
            <w:r>
              <w:t>250.0</w:t>
            </w:r>
          </w:p>
        </w:tc>
        <w:tc>
          <w:tcPr>
            <w:tcW w:type="dxa" w:w="2880"/>
          </w:tcPr>
          <w:p>
            <w:r>
              <w:t>ASSUMPTION -- illustrative hours saved per quarterly cycle vs a manual dual-standard (IFRS9 3-stage + CECL lifetime) reserve reconciliation, statistical re-validation (chi-square/z-test/PSI), and audit-trail assembly across two accounting standards; edit to your institution's own process-timing data.</w:t>
            </w:r>
          </w:p>
        </w:tc>
      </w:tr>
      <w:tr>
        <w:tc>
          <w:tcPr>
            <w:tcW w:type="dxa" w:w="2880"/>
          </w:tcPr>
          <w:p>
            <w:r>
              <w:t>analyst_hourly_cost_usd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ASSUMPTION -- illustrative fully-loaded hourly cost for model-risk/quant-analyst time; edit to your institution's actual cost figure.</w:t>
            </w:r>
          </w:p>
        </w:tc>
      </w:tr>
      <w:tr>
        <w:tc>
          <w:tcPr>
            <w:tcW w:type="dxa" w:w="2880"/>
          </w:tcPr>
          <w:p>
            <w:r>
              <w:t>implementation_cost_usd</w:t>
            </w:r>
          </w:p>
        </w:tc>
        <w:tc>
          <w:tcPr>
            <w:tcW w:type="dxa" w:w="2880"/>
          </w:tcPr>
          <w:p>
            <w:r>
              <w:t>70000.0</w:t>
            </w:r>
          </w:p>
        </w:tc>
        <w:tc>
          <w:tcPr>
            <w:tcW w:type="dxa" w:w="2880"/>
          </w:tcPr>
          <w:p>
            <w:r>
              <w:t>ASSUMPTION -- illustrative one-time build/validate/deploy cost for a dual-framework (IFRS9+CECL) ECL engine with statistical validation and macro-sensitivity tooling -- larger than Problem 4's single-framework LGD engine; edit to your institution's actual project cost.</w:t>
            </w:r>
          </w:p>
        </w:tc>
      </w:tr>
      <w:tr>
        <w:tc>
          <w:tcPr>
            <w:tcW w:type="dxa" w:w="2880"/>
          </w:tcPr>
          <w:p>
            <w:r>
              <w:t>annual_validation_cycles</w:t>
            </w:r>
          </w:p>
        </w:tc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ASSUMPTION -- how many times per year this ECL pipeline is re-run and re-validated against a holdout-sized population (illustrative quarterly cadence); edit to your institution's actual monitoring frequency.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