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4: Delinquency Escalation / Loss Severity -- Business Understanding &amp; LGD Policy Charter</w:t>
      </w:r>
    </w:p>
    <w:p>
      <w:pPr/>
      <w:r>
        <w:t>Project Portfolio Prepared By Nandagopal R</w:t>
      </w:r>
    </w:p>
    <w:p>
      <w:r>
        <w:t>Generated: 2026-08-24 14:37</w:t>
      </w:r>
    </w:p>
    <w:p>
      <w:pPr>
        <w:pStyle w:val="Heading1"/>
      </w:pPr>
      <w:r>
        <w:t>1. Problem Statement</w:t>
      </w:r>
    </w:p>
    <w:p>
      <w:r>
        <w:t>Notebook 08 computes Expected Credit Loss using a single flat LGD of 45% for every defaulting customer, explicitly flagged as an ASSUMPTION because this dataset has no real recovery-rate data. Problem 4 replaces the flat number with a real, defensible differentiation: an Escalation Severity Score computed from each customer's actual D_* trend/delta/level features (Notebook 04's real per-customer trajectory across the 13-month statement panel), bucketed into severity tiers, and validated against real observed default rates before each tier is assigned its own ASSUMPTION LGD value.</w:t>
      </w:r>
    </w:p>
    <w:p>
      <w:pPr>
        <w:pStyle w:val="Heading1"/>
      </w:pPr>
      <w:r>
        <w:t>2. KPI Tree</w:t>
      </w:r>
    </w:p>
    <w:p>
      <w:pPr>
        <w:pStyle w:val="ListBullet"/>
      </w:pPr>
      <w:r>
        <w:t>Severity separation: the real observed default rate of the highest-severity tier must exceed that of the lowest-severity tier by a wide, statistically significant margin.</w:t>
      </w:r>
    </w:p>
    <w:p>
      <w:pPr>
        <w:pStyle w:val="ListBullet"/>
      </w:pPr>
      <w:r>
        <w:t>Rank-ordering / monotonicity: real observed default rate must increase strictly from lowest to highest severity tier -- a non-monotonic scheme cannot justify differentiated LGD.</w:t>
      </w:r>
    </w:p>
    <w:p>
      <w:pPr>
        <w:pStyle w:val="ListBullet"/>
      </w:pPr>
      <w:r>
        <w:t>Population balance: no severity tier below the minimum share of the real defaulter population.</w:t>
      </w:r>
    </w:p>
    <w:p>
      <w:pPr>
        <w:pStyle w:val="ListBullet"/>
      </w:pPr>
      <w:r>
        <w:t>Data-driven severity, ASSUMPTION-only dollars: the severity SCORE and its tiering must be 100% computed from real features -- only the dollar LGD value attached to each tier is an editable ASSUMPTION, exactly matching Notebook 08's existing honesty boundary.</w:t>
      </w:r>
    </w:p>
    <w:p>
      <w:pPr>
        <w:pStyle w:val="Heading1"/>
      </w:pPr>
      <w:r>
        <w:t>3. Severity Score Methodology (real features only)</w:t>
      </w:r>
    </w:p>
    <w:p>
      <w:r>
        <w:t>ASSUMPTION-free methodology (real data only): for each REAL defaulter (from the real labeled default set), an Escalation Severity Score is computed as a weighted combination of that customer's real D_* trend_slope, trend_delta, and final-statement level features (Notebook 04's real engineered output) -- customers whose D_* signals worsened fastest and ended at the worst levels score highest. Notebook 27 computes the exact weighting from real feature-target correlation on the training split.</w:t>
      </w:r>
    </w:p>
    <w:p>
      <w:r>
        <w:t>ASSUMPTION -- equal-population tertiles (33rd/67th percentile cutpoints) of the real severity score distribution, mirroring Notebook 19's quantile tiering approach.</w:t>
      </w:r>
    </w:p>
    <w:p>
      <w:pPr>
        <w:pStyle w:val="Heading1"/>
      </w:pPr>
      <w:r>
        <w:t>4. LGD by Tier (ASSUMPTION)</w:t>
      </w:r>
    </w:p>
    <w:p>
      <w:r>
        <w:t>ASSUMPTION -- illustrative differentiation around Notebook 08's real flat baseline (45%), not a fitted severity model (no real recovery-rate ground truth exists in this dataset to fit one).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Tier Order</w:t>
            </w:r>
          </w:p>
        </w:tc>
        <w:tc>
          <w:tcPr>
            <w:tcW w:type="dxa" w:w="2880"/>
          </w:tcPr>
          <w:p>
            <w:r>
              <w:t>Lgd</w:t>
            </w:r>
          </w:p>
        </w:tc>
      </w:tr>
      <w:tr>
        <w:tc>
          <w:tcPr>
            <w:tcW w:type="dxa" w:w="2880"/>
          </w:tcPr>
          <w:p>
            <w:r>
              <w:t>Low Severity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0.3015</w:t>
            </w:r>
          </w:p>
        </w:tc>
      </w:tr>
      <w:tr>
        <w:tc>
          <w:tcPr>
            <w:tcW w:type="dxa" w:w="2880"/>
          </w:tcPr>
          <w:p>
            <w:r>
              <w:t>Moderate Severity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0.648</w:t>
            </w:r>
          </w:p>
        </w:tc>
      </w:tr>
    </w:tbl>
    <w:p>
      <w:pPr>
        <w:pStyle w:val="Heading1"/>
      </w:pPr>
      <w:r>
        <w:t>5. KPI Targets (ASSUMPTION)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 Default Rate Ratio Top To Bottom Tier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Min Tier Population Pct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Require Strict Monotonicity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6. Stakeholder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Interest</w:t>
            </w:r>
          </w:p>
        </w:tc>
      </w:tr>
      <w:tr>
        <w:tc>
          <w:tcPr>
            <w:tcW w:type="dxa" w:w="4320"/>
          </w:tcPr>
          <w:p>
            <w:r>
              <w:t>Finance / Provisioning</w:t>
            </w:r>
          </w:p>
        </w:tc>
        <w:tc>
          <w:tcPr>
            <w:tcW w:type="dxa" w:w="4320"/>
          </w:tcPr>
          <w:p>
            <w:r>
              <w:t>LGD differentiation directly changes the quarterly ECL reserve Problem 3 will compute -- needs a defensible, documented methodology.</w:t>
            </w:r>
          </w:p>
        </w:tc>
      </w:tr>
      <w:tr>
        <w:tc>
          <w:tcPr>
            <w:tcW w:type="dxa" w:w="4320"/>
          </w:tcPr>
          <w:p>
            <w:r>
              <w:t>Collections</w:t>
            </w:r>
          </w:p>
        </w:tc>
        <w:tc>
          <w:tcPr>
            <w:tcW w:type="dxa" w:w="4320"/>
          </w:tcPr>
          <w:p>
            <w:r>
              <w:t>Severity tier is a natural prioritization signal -- needs tiers that correlate with real observed loss outcomes.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Needs the ASSUMPTION boundary between real severity scoring and illustrative LGD dollars documented before use in any regulatory-adjacent capital or provisioning calculation.</w:t>
            </w:r>
          </w:p>
        </w:tc>
      </w:tr>
      <w:tr>
        <w:tc>
          <w:tcPr>
            <w:tcW w:type="dxa" w:w="4320"/>
          </w:tcPr>
          <w:p>
            <w:r>
              <w:t>Executive / CFO</w:t>
            </w:r>
          </w:p>
        </w:tc>
        <w:tc>
          <w:tcPr>
            <w:tcW w:type="dxa" w:w="4320"/>
          </w:tcPr>
          <w:p>
            <w:r>
              <w:t>Needs the dollar impact of moving from a flat to a tier-differentiated LGD stated in plain financial terms (Notebook 29).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