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5: Early Payment Default Detection -- Validation &amp; Deployment Report</w:t>
      </w:r>
    </w:p>
    <w:p>
      <w:pPr/>
      <w:r>
        <w:t>Project Portfolio Prepared By Nandagopal R</w:t>
      </w:r>
    </w:p>
    <w:p>
      <w:r>
        <w:t>Generated: 2026-08-25 02:03</w:t>
      </w:r>
    </w:p>
    <w:p>
      <w:pPr>
        <w:pStyle w:val="Heading1"/>
      </w:pPr>
      <w:r>
        <w:t>1. Scope &amp; Selected Window</w:t>
      </w:r>
    </w:p>
    <w:p>
      <w:r>
        <w:t>Statistical validation and deployment packaging for the early-window model at K=3 statements, selected from Notebook 35's real AUC-retention curve across candidates [3, 6, 9, 12]. This window meets Notebook 34's AUC-retention KPI target.</w:t>
      </w:r>
    </w:p>
    <w:p>
      <w:pPr>
        <w:pStyle w:val="Heading1"/>
      </w:pPr>
      <w:r>
        <w:t>2. Statistical Validation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Holdout AUC (reproduced)</w:t>
            </w:r>
          </w:p>
        </w:tc>
        <w:tc>
          <w:tcPr>
            <w:tcW w:type="dxa" w:w="2160"/>
          </w:tcPr>
          <w:p>
            <w:r>
              <w:t>0.9265</w:t>
            </w:r>
          </w:p>
        </w:tc>
        <w:tc>
          <w:tcPr>
            <w:tcW w:type="dxa" w:w="2160"/>
          </w:tcPr>
          <w:p>
            <w:r>
              <w:t>&gt;0.5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Holdout AUC 95% CI lower bound</w:t>
            </w:r>
          </w:p>
        </w:tc>
        <w:tc>
          <w:tcPr>
            <w:tcW w:type="dxa" w:w="2160"/>
          </w:tcPr>
          <w:p>
            <w:r>
              <w:t>0.9248</w:t>
            </w:r>
          </w:p>
        </w:tc>
        <w:tc>
          <w:tcPr>
            <w:tcW w:type="dxa" w:w="2160"/>
          </w:tcPr>
          <w:p>
            <w:r>
              <w:t>&gt;0.5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Mean calibration gap (deciles)</w:t>
            </w:r>
          </w:p>
        </w:tc>
        <w:tc>
          <w:tcPr>
            <w:tcW w:type="dxa" w:w="2160"/>
          </w:tcPr>
          <w:p>
            <w:r>
              <w:t>0.0026</w:t>
            </w:r>
          </w:p>
        </w:tc>
        <w:tc>
          <w:tcPr>
            <w:tcW w:type="dxa" w:w="2160"/>
          </w:tcPr>
          <w:p>
            <w:r>
              <w:t>&lt;0.05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score PSI</w:t>
            </w:r>
          </w:p>
        </w:tc>
        <w:tc>
          <w:tcPr>
            <w:tcW w:type="dxa" w:w="2160"/>
          </w:tcPr>
          <w:p>
            <w:r>
              <w:t>0.0004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AUC retention vs. full history (K=3)</w:t>
            </w:r>
          </w:p>
        </w:tc>
        <w:tc>
          <w:tcPr>
            <w:tcW w:type="dxa" w:w="2160"/>
          </w:tcPr>
          <w:p>
            <w:r>
              <w:t>96.3</w:t>
            </w:r>
          </w:p>
        </w:tc>
        <w:tc>
          <w:tcPr>
            <w:tcW w:type="dxa" w:w="2160"/>
          </w:tcPr>
          <w:p>
            <w:r>
              <w:t>&gt;=80%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Fixed Window Assumption: This model was trained and validated on customers' first 3 chronological statements ONLY. It assumes exactly (or up to) 3 statements are available at scoring time -- a customer with MORE history available should be scored by Problem 1's full-history champion model instead (it retains more signal), not this restricted model. This service does not enforce that choice; it is an operational integration decision for whoever calls it.</w:t>
      </w:r>
    </w:p>
    <w:p>
      <w:r>
        <w:t>Kpi Status: MEETS the 80% AUC-retention KPI set in Notebook 34.</w:t>
      </w:r>
    </w:p>
    <w:p>
      <w:r>
        <w:t>Data Limitation: Same limitation Notebook 34 documented: this dataset has no account-origination date, so 'early' means each customer's own earliest statements, not literal time-since-account-opening.</w:t>
      </w:r>
    </w:p>
    <w:p>
      <w:r>
        <w:t>Single Architecture Scope: Only the champion architecture (xgboost) was evaluated (see Notebook 35's Section 7 scope note) -- a full model-zoo tournament at this window length was not run.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Model reproducibility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Statistical validation (all checks)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AUC-retention KPI (Notebook 34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Model + preprocessing artifacts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/score: p50=13.727ms, p95=18.436ms, p99=27.875ms, max=102.729ms.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reten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AUC-retention curve across candidate early windows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Calibration -- K=3 model, real holdout deciles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