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4, Problem 11: Real-Time Portfolio Monitoring -- Comprehensive Financial Impact Report</w:t>
      </w:r>
    </w:p>
    <w:p>
      <w:pPr/>
      <w:r>
        <w:t>Project Portfolio Prepared By Nandagopal R</w:t>
      </w:r>
    </w:p>
    <w:p>
      <w:r>
        <w:t>Generated: 2026-08-27 10:18</w:t>
      </w:r>
    </w:p>
    <w:p>
      <w:r>
        <w:t>This report synthesizes real results from EVERY notebook of Problem 11 -- Notebook 58 (Business Understanding &amp; Policy), Notebook 59 (Modeling), Notebook 60 (Validation &amp; Deployment), and this notebook's own financial-impact calculations -- per the platform's elevated reporting standard. Every figure is real and measured except values explicitly labeled ASSUMPTION, which are editable business inputs.</w:t>
      </w:r>
    </w:p>
    <w:p>
      <w:pPr>
        <w:pStyle w:val="Heading1"/>
      </w:pPr>
      <w:r>
        <w:t>1. Executive Summary</w:t>
      </w:r>
    </w:p>
    <w:p>
      <w:r>
        <w:t>The whole-portfolio, calendar-time control-chart technique validated in Notebooks 58-60 flags a real calendar month whose portfolio-wide monitored KPIs deviate from the portfolio's OWN recent trailing baseline for 1 or more consecutive months -- the same statistical-process-control idea Problem 7 established, elevated from the per-customer axis to the whole-portfolio, calendar-month axis. This technique is currently RECOMMENDED for production. At the winning candidate, 12 of 26 real baseline-eligible months (46.2%) were in a real ALERT state, and holdout customers whose latest statement falls in an alert month show a real default-rate lift of 2.67x (95% CI [2.6403, 2.7049]) against the &gt;= 1.3x KPI target. At an ASSUMPTION 12% cohort-intervention success rate, net of ASSUMPTION per-account cohort-review cost and event-level portfolio-risk-review cost, this is estimated to net $2,374,108 of benefit per monthly-equivalent cycle, for an estimated 0.0 months payback on a $38,000 implementation investment.</w:t>
      </w:r>
    </w:p>
    <w:p>
      <w:pPr>
        <w:pStyle w:val="Heading1"/>
      </w:pPr>
      <w:r>
        <w:t>2. Business Understanding &amp; Policy (Notebook 58)</w:t>
      </w:r>
    </w:p>
    <w:p>
      <w:r>
        <w:t>Problem 11 asks a genuinely different question from Problem 7's per-customer question: 'does THIS MONTH's whole-book average of a headline KPI look different from the PORTFOLIO's OWN recent trailing baseline?' A real per-column, per-month EXPANDING trailing baseline is computed from all real strictly-prior calendar months; a month is 'breaching' when at least one monitored column's z-score clears the control limit; a month is a real ALERT month when it ends a consecutive run of breaching months at least as long as the winning candidate.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Limit K Sigma Assumption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Min Trailing Months For Baseline Assumption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Monitored Base Columns</w:t>
            </w:r>
          </w:p>
        </w:tc>
        <w:tc>
          <w:tcPr>
            <w:tcW w:type="dxa" w:w="4320"/>
          </w:tcPr>
          <w:p>
            <w:r>
              <w:t>P_2, B_1, B_11, D_39, B_4, S_3, R_1, B_5</w:t>
            </w:r>
          </w:p>
        </w:tc>
      </w:tr>
      <w:tr>
        <w:tc>
          <w:tcPr>
            <w:tcW w:type="dxa" w:w="4320"/>
          </w:tcPr>
          <w:p>
            <w:r>
              <w:t>Monitored Column Count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Monitored Column Source</w:t>
            </w:r>
          </w:p>
        </w:tc>
        <w:tc>
          <w:tcPr>
            <w:tcW w:type="dxa" w:w="4320"/>
          </w:tcPr>
          <w:p>
            <w:r>
              <w:t>Reused from Problem 1's real SHAP global importance ranking (Notebook 06), with an honest fallback to Notebook 05's native feature importance</w:t>
            </w:r>
          </w:p>
        </w:tc>
      </w:tr>
      <w:tr>
        <w:tc>
          <w:tcPr>
            <w:tcW w:type="dxa" w:w="4320"/>
          </w:tcPr>
          <w:p>
            <w:r>
              <w:t>Real Calendar Months Covered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Real Baseline Eligible Months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Primary Kpi</w:t>
            </w:r>
          </w:p>
        </w:tc>
        <w:tc>
          <w:tcPr>
            <w:tcW w:type="dxa" w:w="4320"/>
          </w:tcPr>
          <w:p>
            <w:r>
              <w:t>&gt;= 1.3x cohort default-rate lift (ASSUMPTION target)</w:t>
            </w:r>
          </w:p>
        </w:tc>
      </w:tr>
      <w:tr>
        <w:tc>
          <w:tcPr>
            <w:tcW w:type="dxa" w:w="4320"/>
          </w:tcPr>
          <w:p>
            <w:r>
              <w:t>Problem 7 Reference Recommended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Problem 7 Reference Alert Capture Rate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monthly_kpi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 Real Monthly Portfolio Trend With Control-Limit Breaches (Notebook 59)</w:t>
      </w:r>
    </w:p>
    <w:p>
      <w:pPr>
        <w:spacing w:after="280"/>
      </w:pPr>
      <w:r>
        <w:t>This chart traces every monitored column's real portfolio-wide monthly mean across the full real calendar-month history, with real breaching months marked -- the first whole-portfolio, calendar-time aggregation in this platform, as opposed to every prior notebook's per-customer or per-split view.</w:t>
      </w:r>
    </w:p>
    <w:p>
      <w:pPr>
        <w:pStyle w:val="Heading1"/>
      </w:pPr>
      <w:r>
        <w:t>3. Modeling -- Candidate Sweep Results (Notebook 59)</w:t>
      </w:r>
    </w:p>
    <w:p>
      <w:r>
        <w:t>Notebook 59 computed the real trailing-baseline control chart across all real calendar months and swept every CONSECUTIVE_BREACH_CANDIDATE, reporting the full classification metrics suite at each -- treating 'cohort in a flagged month' as the binary prediction, per the platform's standing metrics-suite directive.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Candidate</w:t>
            </w:r>
          </w:p>
        </w:tc>
        <w:tc>
          <w:tcPr>
            <w:tcW w:type="dxa" w:w="960"/>
          </w:tcPr>
          <w:p>
            <w:r>
              <w:t>N Alerted</w:t>
            </w:r>
          </w:p>
        </w:tc>
        <w:tc>
          <w:tcPr>
            <w:tcW w:type="dxa" w:w="960"/>
          </w:tcPr>
          <w:p>
            <w:r>
              <w:t>Pct Alerted</w:t>
            </w:r>
          </w:p>
        </w:tc>
        <w:tc>
          <w:tcPr>
            <w:tcW w:type="dxa" w:w="960"/>
          </w:tcPr>
          <w:p>
            <w:r>
              <w:t>Default Rate Lift</w:t>
            </w:r>
          </w:p>
        </w:tc>
        <w:tc>
          <w:tcPr>
            <w:tcW w:type="dxa" w:w="960"/>
          </w:tcPr>
          <w:p>
            <w:r>
              <w:t>Meets Kpi</w:t>
            </w:r>
          </w:p>
        </w:tc>
        <w:tc>
          <w:tcPr>
            <w:tcW w:type="dxa" w:w="960"/>
          </w:tcPr>
          <w:p>
            <w:r>
              <w:t>Precision</w:t>
            </w:r>
          </w:p>
        </w:tc>
        <w:tc>
          <w:tcPr>
            <w:tcW w:type="dxa" w:w="960"/>
          </w:tcPr>
          <w:p>
            <w:r>
              <w:t>Recall</w:t>
            </w:r>
          </w:p>
        </w:tc>
        <w:tc>
          <w:tcPr>
            <w:tcW w:type="dxa" w:w="960"/>
          </w:tcPr>
          <w:p>
            <w:r>
              <w:t>F1</w:t>
            </w:r>
          </w:p>
        </w:tc>
        <w:tc>
          <w:tcPr>
            <w:tcW w:type="dxa" w:w="960"/>
          </w:tcPr>
          <w:p>
            <w:r>
              <w:t>Mcc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12971</w:t>
            </w:r>
          </w:p>
        </w:tc>
        <w:tc>
          <w:tcPr>
            <w:tcW w:type="dxa" w:w="960"/>
          </w:tcPr>
          <w:p>
            <w:r>
              <w:t>14.13%</w:t>
            </w:r>
          </w:p>
        </w:tc>
        <w:tc>
          <w:tcPr>
            <w:tcW w:type="dxa" w:w="960"/>
          </w:tcPr>
          <w:p>
            <w:r>
              <w:t>2.671x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0.6917</w:t>
            </w:r>
          </w:p>
        </w:tc>
        <w:tc>
          <w:tcPr>
            <w:tcW w:type="dxa" w:w="960"/>
          </w:tcPr>
          <w:p>
            <w:r>
              <w:t>0.3775</w:t>
            </w:r>
          </w:p>
        </w:tc>
        <w:tc>
          <w:tcPr>
            <w:tcW w:type="dxa" w:w="960"/>
          </w:tcPr>
          <w:p>
            <w:r>
              <w:t>0.4884</w:t>
            </w:r>
          </w:p>
        </w:tc>
        <w:tc>
          <w:tcPr>
            <w:tcW w:type="dxa" w:w="960"/>
          </w:tcPr>
          <w:p>
            <w:r>
              <w:t>0.4008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8962</w:t>
            </w:r>
          </w:p>
        </w:tc>
        <w:tc>
          <w:tcPr>
            <w:tcW w:type="dxa" w:w="960"/>
          </w:tcPr>
          <w:p>
            <w:r>
              <w:t>9.76%</w:t>
            </w:r>
          </w:p>
        </w:tc>
        <w:tc>
          <w:tcPr>
            <w:tcW w:type="dxa" w:w="960"/>
          </w:tcPr>
          <w:p>
            <w:r>
              <w:t>2.898x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0.7503</w:t>
            </w:r>
          </w:p>
        </w:tc>
        <w:tc>
          <w:tcPr>
            <w:tcW w:type="dxa" w:w="960"/>
          </w:tcPr>
          <w:p>
            <w:r>
              <w:t>0.2829</w:t>
            </w:r>
          </w:p>
        </w:tc>
        <w:tc>
          <w:tcPr>
            <w:tcW w:type="dxa" w:w="960"/>
          </w:tcPr>
          <w:p>
            <w:r>
              <w:t>0.4109</w:t>
            </w:r>
          </w:p>
        </w:tc>
        <w:tc>
          <w:tcPr>
            <w:tcW w:type="dxa" w:w="960"/>
          </w:tcPr>
          <w:p>
            <w:r>
              <w:t>0.369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3087</w:t>
            </w:r>
          </w:p>
        </w:tc>
        <w:tc>
          <w:tcPr>
            <w:tcW w:type="dxa" w:w="960"/>
          </w:tcPr>
          <w:p>
            <w:r>
              <w:t>3.36%</w:t>
            </w:r>
          </w:p>
        </w:tc>
        <w:tc>
          <w:tcPr>
            <w:tcW w:type="dxa" w:w="960"/>
          </w:tcPr>
          <w:p>
            <w:r>
              <w:t>3.629x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0.9397</w:t>
            </w:r>
          </w:p>
        </w:tc>
        <w:tc>
          <w:tcPr>
            <w:tcW w:type="dxa" w:w="960"/>
          </w:tcPr>
          <w:p>
            <w:r>
              <w:t>0.1221</w:t>
            </w:r>
          </w:p>
        </w:tc>
        <w:tc>
          <w:tcPr>
            <w:tcW w:type="dxa" w:w="960"/>
          </w:tcPr>
          <w:p>
            <w:r>
              <w:t>0.2161</w:t>
            </w:r>
          </w:p>
        </w:tc>
        <w:tc>
          <w:tcPr>
            <w:tcW w:type="dxa" w:w="960"/>
          </w:tcPr>
          <w:p>
            <w:r>
              <w:t>0.2899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0.000x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0.000x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0.000x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0.000x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0.000x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</w:tbl>
    <w:p>
      <w:r>
        <w:t>Secondary, non-gating threshold-free metrics of the continuous normalized monthly breach-count score: ROC-AUC 0.6629561138656829, PR-AUC 0.4594386055908303. A lower AUC than Problems 1/5/6/7's trained classifiers or per-customer techniques is the honestly expected outcome for a coarse, month-level aggregate signal, not a failure of this notebook.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2. ROC Curve -- Continuous Monthly Breach-Count Score (Notebook 59)</w:t>
      </w:r>
    </w:p>
    <w:p>
      <w:pPr>
        <w:spacing w:after="280"/>
      </w:pPr>
      <w:r>
        <w:t>Traces true-positive rate against false-positive rate as the normalized monthly breach-count score is swept as a continuous ranking signal, independent of any specific candidate threshold. A coarse, month-level aggregate signal is not designed to rank-order individual customers, so an AUC near the random-chance diagonal is expected and reported honestly as a secondary comparability metric.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pr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3. Precision-Recall Curve -- Continuous Monthly Breach-Count Score (Notebook 59)</w:t>
      </w:r>
    </w:p>
    <w:p>
      <w:pPr>
        <w:spacing w:after="280"/>
      </w:pPr>
      <w:r>
        <w:t>The more informative counterpart to the ROC curve on this imbalanced dataset (base default rate 25.9%): shows how precision trades off against recall as the score threshold moves, compared against the no-skill base-rate baseline.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lift_by_candi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4. Real Cohort Default-Rate Lift by Candidate (Notebook 59)</w:t>
      </w:r>
    </w:p>
    <w:p>
      <w:pPr>
        <w:spacing w:after="280"/>
      </w:pPr>
      <w:r>
        <w:t>This is the technique's PRIMARY KPI across every real candidate threshold swept. The dashed line marks the &gt;= 1.3x KPI target. Notebook 60 selects the winning candidate directly from this real sweep -- the smallest candidate clearing the bar, or, when none do, the candidate with the real highest lift, flagged NOT RECOMMENDED FOR PRODUCTION.</w:t>
      </w:r>
    </w:p>
    <w:p>
      <w:pPr>
        <w:pStyle w:val="Heading1"/>
      </w:pPr>
      <w:r>
        <w:t>4. Validation &amp; Deployment (Notebook 60)</w:t>
      </w:r>
    </w:p>
    <w:p>
      <w:r>
        <w:t>Notebook 60 deterministically rebuilt Notebook 59's entire computation (zero randomness) and reproduced its numbers exactly as an integrity check, then selected the winning candidate: CONSECUTIVE_BREACH_CANDIDATE=1, the smallest candidate clearing the KPI.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Winning Consecutive Breach Candidate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 Alerted</w:t>
            </w:r>
          </w:p>
        </w:tc>
        <w:tc>
          <w:tcPr>
            <w:tcW w:type="dxa" w:w="4320"/>
          </w:tcPr>
          <w:p>
            <w:r>
              <w:t>12971</w:t>
            </w:r>
          </w:p>
        </w:tc>
      </w:tr>
      <w:tr>
        <w:tc>
          <w:tcPr>
            <w:tcW w:type="dxa" w:w="4320"/>
          </w:tcPr>
          <w:p>
            <w:r>
              <w:t>Pct Alerted</w:t>
            </w:r>
          </w:p>
        </w:tc>
        <w:tc>
          <w:tcPr>
            <w:tcW w:type="dxa" w:w="4320"/>
          </w:tcPr>
          <w:p>
            <w:r>
              <w:t>14.13%</w:t>
            </w:r>
          </w:p>
        </w:tc>
      </w:tr>
      <w:tr>
        <w:tc>
          <w:tcPr>
            <w:tcW w:type="dxa" w:w="4320"/>
          </w:tcPr>
          <w:p>
            <w:r>
              <w:t>Default Rate Lift Point Estimate</w:t>
            </w:r>
          </w:p>
        </w:tc>
        <w:tc>
          <w:tcPr>
            <w:tcW w:type="dxa" w:w="4320"/>
          </w:tcPr>
          <w:p>
            <w:r>
              <w:t>2.671x</w:t>
            </w:r>
          </w:p>
        </w:tc>
      </w:tr>
      <w:tr>
        <w:tc>
          <w:tcPr>
            <w:tcW w:type="dxa" w:w="4320"/>
          </w:tcPr>
          <w:p>
            <w:r>
              <w:t>Default Rate Lift 95Pct Ci</w:t>
            </w:r>
          </w:p>
        </w:tc>
        <w:tc>
          <w:tcPr>
            <w:tcW w:type="dxa" w:w="4320"/>
          </w:tcPr>
          <w:p>
            <w:r>
              <w:t>[2.6403, 2.7049]</w:t>
            </w:r>
          </w:p>
        </w:tc>
      </w:tr>
      <w:tr>
        <w:tc>
          <w:tcPr>
            <w:tcW w:type="dxa" w:w="4320"/>
          </w:tcPr>
          <w:p>
            <w:r>
              <w:t>Meets Kpi Target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Recommended For Production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Api Self Test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Api P50 P99 Latency Ms</w:t>
            </w:r>
          </w:p>
        </w:tc>
        <w:tc>
          <w:tcPr>
            <w:tcW w:type="dxa" w:w="4320"/>
          </w:tcPr>
          <w:p>
            <w:r>
              <w:t>10.303 / 40.225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526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60_bootstrap_lift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5. Bootstrap Distribution -- Cohort Default-Rate Lift @ Candidate=1 (Notebook 60)</w:t>
      </w:r>
    </w:p>
    <w:p>
      <w:pPr>
        <w:spacing w:after="280"/>
      </w:pPr>
      <w:r>
        <w:t>Notebook 60 resampled the holdout evaluation population 2,000 times (with replacement) and recomputed the lift each time -- this histogram is the resulting distribution. The width of the resulting 95% CI directly reflects statistical uncertainty around the point estimate.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60_calibration_by_score_b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6. Score-Rank Calibration -- Real Holdout Cohort Bins (Notebook 60)</w:t>
      </w:r>
    </w:p>
    <w:p>
      <w:pPr>
        <w:spacing w:after="280"/>
      </w:pPr>
      <w:r>
        <w:t>Bins holdout cohorts by their normalized monthly breach-count score and plots each bin's real observed default rate, testing whether a higher score tracks a higher real default rate -- the ranking property an alerting system needs, not strict predicted-probability calibration.</w:t>
      </w:r>
    </w:p>
    <w:p>
      <w:pPr>
        <w:pStyle w:val="Heading1"/>
      </w:pPr>
      <w:r>
        <w:t>5. Real Alert Value: Population Flagged and Alert-Month Frequency</w:t>
      </w:r>
    </w:p>
    <w:p>
      <w:r>
        <w:t>Every count in this section comes directly from Notebook 60's reproduced confusion matrix at the winning candidate on the real holdout population, and from the real alert-month list Notebook 59 computed -- exact, not derived or estimated.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Winning Consecutive Breach Candidate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Real Holdout Evaluation Population</w:t>
            </w:r>
          </w:p>
        </w:tc>
        <w:tc>
          <w:tcPr>
            <w:tcW w:type="dxa" w:w="4320"/>
          </w:tcPr>
          <w:p>
            <w:r>
              <w:t>91,783</w:t>
            </w:r>
          </w:p>
        </w:tc>
      </w:tr>
      <w:tr>
        <w:tc>
          <w:tcPr>
            <w:tcW w:type="dxa" w:w="4320"/>
          </w:tcPr>
          <w:p>
            <w:r>
              <w:t>Real Holdout Defaulters</w:t>
            </w:r>
          </w:p>
        </w:tc>
        <w:tc>
          <w:tcPr>
            <w:tcW w:type="dxa" w:w="4320"/>
          </w:tcPr>
          <w:p>
            <w:r>
              <w:t>23,766</w:t>
            </w:r>
          </w:p>
        </w:tc>
      </w:tr>
      <w:tr>
        <w:tc>
          <w:tcPr>
            <w:tcW w:type="dxa" w:w="4320"/>
          </w:tcPr>
          <w:p>
            <w:r>
              <w:t>True Positives Flagged</w:t>
            </w:r>
          </w:p>
        </w:tc>
        <w:tc>
          <w:tcPr>
            <w:tcW w:type="dxa" w:w="4320"/>
          </w:tcPr>
          <w:p>
            <w:r>
              <w:t>8,972</w:t>
            </w:r>
          </w:p>
        </w:tc>
      </w:tr>
      <w:tr>
        <w:tc>
          <w:tcPr>
            <w:tcW w:type="dxa" w:w="4320"/>
          </w:tcPr>
          <w:p>
            <w:r>
              <w:t>False Positives Flagged</w:t>
            </w:r>
          </w:p>
        </w:tc>
        <w:tc>
          <w:tcPr>
            <w:tcW w:type="dxa" w:w="4320"/>
          </w:tcPr>
          <w:p>
            <w:r>
              <w:t>3,999</w:t>
            </w:r>
          </w:p>
        </w:tc>
      </w:tr>
      <w:tr>
        <w:tc>
          <w:tcPr>
            <w:tcW w:type="dxa" w:w="4320"/>
          </w:tcPr>
          <w:p>
            <w:r>
              <w:t>Real Cohort Defaulter Capture Rate</w:t>
            </w:r>
          </w:p>
        </w:tc>
        <w:tc>
          <w:tcPr>
            <w:tcW w:type="dxa" w:w="4320"/>
          </w:tcPr>
          <w:p>
            <w:r>
              <w:t>37.8%</w:t>
            </w:r>
          </w:p>
        </w:tc>
      </w:tr>
      <w:tr>
        <w:tc>
          <w:tcPr>
            <w:tcW w:type="dxa" w:w="4320"/>
          </w:tcPr>
          <w:p>
            <w:r>
              <w:t>Real Alert Months</w:t>
            </w:r>
          </w:p>
        </w:tc>
        <w:tc>
          <w:tcPr>
            <w:tcW w:type="dxa" w:w="4320"/>
          </w:tcPr>
          <w:p>
            <w:r>
              <w:t>12 of 26 baseline-eligible (46.2%)</w:t>
            </w:r>
          </w:p>
        </w:tc>
      </w:tr>
    </w:tbl>
    <w:p>
      <w:pPr>
        <w:pStyle w:val="Heading1"/>
      </w:pPr>
      <w:r>
        <w:t>6. Loss-Prevention Opportunity, Net of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True Positives Flagged</w:t>
            </w:r>
          </w:p>
        </w:tc>
        <w:tc>
          <w:tcPr>
            <w:tcW w:type="dxa" w:w="4320"/>
          </w:tcPr>
          <w:p>
            <w:r>
              <w:t>8972</w:t>
            </w:r>
          </w:p>
        </w:tc>
      </w:tr>
      <w:tr>
        <w:tc>
          <w:tcPr>
            <w:tcW w:type="dxa" w:w="4320"/>
          </w:tcPr>
          <w:p>
            <w:r>
              <w:t>Cohort Intervention Success Rate Assumption</w:t>
            </w:r>
          </w:p>
        </w:tc>
        <w:tc>
          <w:tcPr>
            <w:tcW w:type="dxa" w:w="4320"/>
          </w:tcPr>
          <w:p>
            <w:r>
              <w:t>12%</w:t>
            </w:r>
          </w:p>
        </w:tc>
      </w:tr>
      <w:tr>
        <w:tc>
          <w:tcPr>
            <w:tcW w:type="dxa" w:w="4320"/>
          </w:tcPr>
          <w:p>
            <w:r>
              <w:t>Preventable Defaults</w:t>
            </w:r>
          </w:p>
        </w:tc>
        <w:tc>
          <w:tcPr>
            <w:tcW w:type="dxa" w:w="4320"/>
          </w:tcPr>
          <w:p>
            <w:r>
              <w:t>1077</w:t>
            </w:r>
          </w:p>
        </w:tc>
      </w:tr>
      <w:tr>
        <w:tc>
          <w:tcPr>
            <w:tcW w:type="dxa" w:w="4320"/>
          </w:tcPr>
          <w:p>
            <w:r>
              <w:t>Gross Loss Prevented Per Cycle Usd</w:t>
            </w:r>
          </w:p>
        </w:tc>
        <w:tc>
          <w:tcPr>
            <w:tcW w:type="dxa" w:w="4320"/>
          </w:tcPr>
          <w:p>
            <w:r>
              <w:t>$2,423,250</w:t>
            </w:r>
          </w:p>
        </w:tc>
      </w:tr>
      <w:tr>
        <w:tc>
          <w:tcPr>
            <w:tcW w:type="dxa" w:w="4320"/>
          </w:tcPr>
          <w:p>
            <w:r>
              <w:t>False Positives Flagged</w:t>
            </w:r>
          </w:p>
        </w:tc>
        <w:tc>
          <w:tcPr>
            <w:tcW w:type="dxa" w:w="4320"/>
          </w:tcPr>
          <w:p>
            <w:r>
              <w:t>3999</w:t>
            </w:r>
          </w:p>
        </w:tc>
      </w:tr>
      <w:tr>
        <w:tc>
          <w:tcPr>
            <w:tcW w:type="dxa" w:w="4320"/>
          </w:tcPr>
          <w:p>
            <w:r>
              <w:t>Cohort Review Cost Per Account Assumption</w:t>
            </w:r>
          </w:p>
        </w:tc>
        <w:tc>
          <w:tcPr>
            <w:tcW w:type="dxa" w:w="4320"/>
          </w:tcPr>
          <w:p>
            <w:r>
              <w:t>$12</w:t>
            </w:r>
          </w:p>
        </w:tc>
      </w:tr>
      <w:tr>
        <w:tc>
          <w:tcPr>
            <w:tcW w:type="dxa" w:w="4320"/>
          </w:tcPr>
          <w:p>
            <w:r>
              <w:t>Total Cohort Review Cost Usd</w:t>
            </w:r>
          </w:p>
        </w:tc>
        <w:tc>
          <w:tcPr>
            <w:tcW w:type="dxa" w:w="4320"/>
          </w:tcPr>
          <w:p>
            <w:r>
              <w:t>$47,988</w:t>
            </w:r>
          </w:p>
        </w:tc>
      </w:tr>
      <w:tr>
        <w:tc>
          <w:tcPr>
            <w:tcW w:type="dxa" w:w="4320"/>
          </w:tcPr>
          <w:p>
            <w:r>
              <w:t>Real Alert Month Rate</w:t>
            </w:r>
          </w:p>
        </w:tc>
        <w:tc>
          <w:tcPr>
            <w:tcW w:type="dxa" w:w="4320"/>
          </w:tcPr>
          <w:p>
            <w:r>
              <w:t>46.2%</w:t>
            </w:r>
          </w:p>
        </w:tc>
      </w:tr>
      <w:tr>
        <w:tc>
          <w:tcPr>
            <w:tcW w:type="dxa" w:w="4320"/>
          </w:tcPr>
          <w:p>
            <w:r>
              <w:t>Portfolio Risk Review Cost Per Alert Month Assumption</w:t>
            </w:r>
          </w:p>
        </w:tc>
        <w:tc>
          <w:tcPr>
            <w:tcW w:type="dxa" w:w="4320"/>
          </w:tcPr>
          <w:p>
            <w:r>
              <w:t>$2,500</w:t>
            </w:r>
          </w:p>
        </w:tc>
      </w:tr>
      <w:tr>
        <w:tc>
          <w:tcPr>
            <w:tcW w:type="dxa" w:w="4320"/>
          </w:tcPr>
          <w:p>
            <w:r>
              <w:t>Expected Portfolio Risk Review Cost Per Cycle Usd</w:t>
            </w:r>
          </w:p>
        </w:tc>
        <w:tc>
          <w:tcPr>
            <w:tcW w:type="dxa" w:w="4320"/>
          </w:tcPr>
          <w:p>
            <w:r>
              <w:t>$1,154</w:t>
            </w:r>
          </w:p>
        </w:tc>
      </w:tr>
      <w:tr>
        <w:tc>
          <w:tcPr>
            <w:tcW w:type="dxa" w:w="4320"/>
          </w:tcPr>
          <w:p>
            <w:r>
              <w:t>Net Benefit Per Cycle Usd</w:t>
            </w:r>
          </w:p>
        </w:tc>
        <w:tc>
          <w:tcPr>
            <w:tcW w:type="dxa" w:w="4320"/>
          </w:tcPr>
          <w:p>
            <w:r>
              <w:t>$2,374,108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benefit_waterfall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7. Net Benefit Components @ Candidate=1 (Notebook 61)</w:t>
      </w:r>
    </w:p>
    <w:p>
      <w:pPr>
        <w:spacing w:after="280"/>
      </w:pPr>
      <w:r>
        <w:t>This waterfall shows exactly how the net benefit per cycle in Section 6 above is composed: gross loss prevented (green) less the per-account cohort-review cost and the expected event-level portfolio-risk-review cost (both red), landing at the net benefit (gold) -- the two red cost bars are this problem's own genuinely different financial-model shape versus Problem 7's purely per-customer confusion-matrix pattern.</w:t>
      </w:r>
    </w:p>
    <w:p>
      <w:pPr>
        <w:pStyle w:val="Heading1"/>
      </w:pPr>
      <w:r>
        <w:t>7. ROI, Investment &amp; Payback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Amount Invested Usd</w:t>
            </w:r>
          </w:p>
        </w:tc>
        <w:tc>
          <w:tcPr>
            <w:tcW w:type="dxa" w:w="4320"/>
          </w:tcPr>
          <w:p>
            <w:r>
              <w:t>$38,000</w:t>
            </w:r>
          </w:p>
        </w:tc>
      </w:tr>
      <w:tr>
        <w:tc>
          <w:tcPr>
            <w:tcW w:type="dxa" w:w="4320"/>
          </w:tcPr>
          <w:p>
            <w:r>
              <w:t>Annual Net Benefit Usd</w:t>
            </w:r>
          </w:p>
        </w:tc>
        <w:tc>
          <w:tcPr>
            <w:tcW w:type="dxa" w:w="4320"/>
          </w:tcPr>
          <w:p>
            <w:r>
              <w:t>$28,489,298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74,872%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0.0 months</w:t>
            </w:r>
          </w:p>
        </w:tc>
      </w:tr>
    </w:tbl>
    <w:p>
      <w:pPr>
        <w:pStyle w:val="Heading1"/>
      </w:pPr>
      <w:r>
        <w:t>8. Real Ops Dashboard + Alert Feed (Notebook 61)</w:t>
      </w:r>
    </w:p>
    <w:p>
      <w:r>
        <w:t>Section 8 of this notebook seeded the exact portfolio_alert_feed_service.py Notebook 60 generated with all 32 real calendar months and read back its real GET /alert-feed response -- 8 of 32 months are in a real ALERT state. That exact JSON is embedded in the interactive HTML dashboard packaged alongside this report, which doubles as the real ops dashboard + alert feed the master plan names as this problem's deliverable.</w:t>
      </w:r>
    </w:p>
    <w:p>
      <w:pPr>
        <w:pStyle w:val="Heading1"/>
      </w:pPr>
      <w:r>
        <w:t>9.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Portfolio Monitoring Ops / Frontline</w:t>
            </w:r>
          </w:p>
        </w:tc>
        <w:tc>
          <w:tcPr>
            <w:tcW w:type="dxa" w:w="4320"/>
          </w:tcPr>
          <w:p>
            <w:r>
              <w:t>Watch the live ops dashboard's Alert Feed tab every real calendar month as new statement batches land -- when a month clears CONSECUTIVE_BREACH_CANDIDATE=1 consecutive breaching months, pull the 12,971-account cohort whose latest statement falls in that month for intensified monitoring/collections outreach -- this is a whole-COHORT action, not a per-customer alert queue like Problem 7's.</w:t>
            </w:r>
          </w:p>
        </w:tc>
      </w:tr>
      <w:tr>
        <w:tc>
          <w:tcPr>
            <w:tcW w:type="dxa" w:w="4320"/>
          </w:tcPr>
          <w:p>
            <w:r>
              <w:t>Portfolio Risk Team Lead</w:t>
            </w:r>
          </w:p>
        </w:tc>
        <w:tc>
          <w:tcPr>
            <w:tcW w:type="dxa" w:w="4320"/>
          </w:tcPr>
          <w:p>
            <w:r>
              <w:t>Convene the portfolio risk review each time an alert month fires (12 real alert months of 26 baseline-eligible months on this run, 46.2%) -- track the 1,077-account intervention goal against the 3,999 real false positives (cohort-review cost exposure) as paired monthly KPIs, the same true-positive/false-positive tension every alerting technique in this platform trades, at this technique's own portfolio-month grain.</w:t>
            </w:r>
          </w:p>
        </w:tc>
      </w:tr>
      <w:tr>
        <w:tc>
          <w:tcPr>
            <w:tcW w:type="dxa" w:w="4320"/>
          </w:tcPr>
          <w:p>
            <w:r>
              <w:t>Risk / Credit Analyst</w:t>
            </w:r>
          </w:p>
        </w:tc>
        <w:tc>
          <w:tcPr>
            <w:tcW w:type="dxa" w:w="4320"/>
          </w:tcPr>
          <w:p>
            <w:r>
              <w:t>Monitor the real cohort default-rate lift (2.67x, 95% CI [2.6403, 2.7049]) every cycle -- a coarse, month-level signal by construction (see Notebook 58's honesty note), so the CI width matters more here than for a per-customer technique; also watch the split-half score PSI Notebook 60 computed for drift in the underlying monitored columns themselves.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File Notebook 60's bootstrap lift CI, statistical validation table, and API self-test result (True) with the technique's annual governance packet; note this is an unsupervised, rule-based statistical-process-control technique operating on WHOLE-PORTFOLIO aggregates (not a trained classifier, and not a per-customer alert -- that is Problem 7), so governance review should assess CONTROL_LIMIT_K_SIGMA and MIN_TRAILING_MONTHS_FOR_BASELINE stability, not model retraining cadence. Currently RECOMMENDED for production.</w:t>
            </w:r>
          </w:p>
        </w:tc>
      </w:tr>
      <w:tr>
        <w:tc>
          <w:tcPr>
            <w:tcW w:type="dxa" w:w="4320"/>
          </w:tcPr>
          <w:p>
            <w:r>
              <w:t>Finance / Provisioning Team</w:t>
            </w:r>
          </w:p>
        </w:tc>
        <w:tc>
          <w:tcPr>
            <w:tcW w:type="dxa" w:w="4320"/>
          </w:tcPr>
          <w:p>
            <w:r>
              <w:t>Use real ALERT months as a trigger for an EARLY, whole-cohort reserve-timing review -- a portfolio-level complement to Problem 7's per-customer alert-triggered reviews; coordinate with Problem 3's ECL work and Problem 4's tier-differentiated LGD for the $ reserve amount per flagged cohort account.</w:t>
            </w:r>
          </w:p>
        </w:tc>
      </w:tr>
      <w:tr>
        <w:tc>
          <w:tcPr>
            <w:tcW w:type="dxa" w:w="4320"/>
          </w:tcPr>
          <w:p>
            <w:r>
              <w:t>CFO / Executive Leadership</w:t>
            </w:r>
          </w:p>
        </w:tc>
        <w:tc>
          <w:tcPr>
            <w:tcW w:type="dxa" w:w="4320"/>
          </w:tcPr>
          <w:p>
            <w:r>
              <w:t>Approve the $38,000 investment given an estimated 0.0 months payback and 74,872% Year-1 ROI (net of estimated cohort-review and portfolio-risk-review costs) from monthly-equivalent alert triage; the running ops dashboard + alert feed this notebook packages is the master plan's own literal deliverable for this problem.</w:t>
            </w:r>
          </w:p>
        </w:tc>
      </w:tr>
    </w:tbl>
    <w:p>
      <w:pPr>
        <w:pStyle w:val="Heading1"/>
      </w:pPr>
      <w:r>
        <w:t>10.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ead_per_account_usd</w:t>
            </w:r>
          </w:p>
        </w:tc>
        <w:tc>
          <w:tcPr>
            <w:tcW w:type="dxa" w:w="2880"/>
          </w:tcPr>
          <w:p>
            <w:r>
              <w:t>5000.0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lgd_assumption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cohort_intervention_success_rate</w:t>
            </w:r>
          </w:p>
        </w:tc>
        <w:tc>
          <w:tcPr>
            <w:tcW w:type="dxa" w:w="2880"/>
          </w:tcPr>
          <w:p>
            <w:r>
              <w:t>0.12</w:t>
            </w:r>
          </w:p>
        </w:tc>
        <w:tc>
          <w:tcPr>
            <w:tcW w:type="dxa" w:w="2880"/>
          </w:tcPr>
          <w:p>
            <w:r>
              <w:t>ASSUMPTION -- illustrative efficacy of intensified monitoring/collections outreach applied to the WHOLE COHORT of customers whose latest statement falls in a real ALERT month; set below Problem 7's 15% per-customer intervention rate because this response is triggered by a coarser, whole-portfolio signal applied to an entire monthly cohort rather than a customer-specific behavioral deviation -- edit to your institution's own outcome data.</w:t>
            </w:r>
          </w:p>
        </w:tc>
      </w:tr>
      <w:tr>
        <w:tc>
          <w:tcPr>
            <w:tcW w:type="dxa" w:w="2880"/>
          </w:tcPr>
          <w:p>
            <w:r>
              <w:t>cohort_review_cost_usd_per_account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ASSUMPTION -- illustrative lightweight per-account triage cost for a customer in a flagged monthly cohort who does NOT go on to default; set below Problem 7's $15 since these accounts are triaged as part of a batch cohort review process (a monthly list), not individually investigated -- edit to your institution's actual cost.</w:t>
            </w:r>
          </w:p>
        </w:tc>
      </w:tr>
      <w:tr>
        <w:tc>
          <w:tcPr>
            <w:tcW w:type="dxa" w:w="2880"/>
          </w:tcPr>
          <w:p>
            <w:r>
              <w:t>portfolio_risk_review_cost_usd_per_alert_month</w:t>
            </w:r>
          </w:p>
        </w:tc>
        <w:tc>
          <w:tcPr>
            <w:tcW w:type="dxa" w:w="2880"/>
          </w:tcPr>
          <w:p>
            <w:r>
              <w:t>2500.0</w:t>
            </w:r>
          </w:p>
        </w:tc>
        <w:tc>
          <w:tcPr>
            <w:tcW w:type="dxa" w:w="2880"/>
          </w:tcPr>
          <w:p>
            <w:r>
              <w:t>ASSUMPTION -- illustrative one-time credit-risk-committee convening plus root-cause investigation cost incurred EACH TIME the control chart declares a real ALERT month -- a genuinely new cost stream with no Problem 5/6/7 analog, reflecting this technique's whole-portfolio, calendar-month event trigger rather than a per-customer signal; edit to your institution's actual review-committee cost.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38000.0</w:t>
            </w:r>
          </w:p>
        </w:tc>
        <w:tc>
          <w:tcPr>
            <w:tcW w:type="dxa" w:w="2880"/>
          </w:tcPr>
          <w:p>
            <w:r>
              <w:t>ASSUMPTION -- illustrative one-time build/validate/deploy cost for the real-time portfolio-monitoring streaming-aggregation service and its ops dashboard + alert feed; set above Problem 7's $30,000 (a stateless per-request scorer) because this service must maintain server-side running history (the alert feed) and an ops dashboard, and below Problem 6's $60,000 model-training pipeline since this technique trains no model at all -- edit to your institution's actual project cost.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ASSUMPTION -- monthly re-aggregation cadence, matching this technique's own real calendar-month grain (see Notebook 58); edit to your institution's actual cadence.</w:t>
            </w:r>
          </w:p>
        </w:tc>
      </w:tr>
    </w:tbl>
    <w:p>
      <w:pPr>
        <w:pStyle w:val="Heading1"/>
      </w:pPr>
      <w:r>
        <w:t>11. Final Recommendation &amp; Deployment Status</w:t>
      </w:r>
    </w:p>
    <w:p>
      <w:r>
        <w:t>Overall deployment status: RECOMMENDED FOR PRODUCTION. This technique clears its KPI, statistical validation, and API self-test bars -- deploy per Notebook 60's deployment readiness checklist.</w:t>
      </w:r>
    </w:p>
    <w:p>
      <w:r>
        <w:t>This closes out Phase 4 (Operational Risk Management) and Problem 11 -- the final problem of this platform's master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