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5, Problem 13: Risk-Adjusted Profitability Modeling -- Comprehensive Financial Impact Report</w:t>
      </w:r>
    </w:p>
    <w:p>
      <w:pPr/>
      <w:r>
        <w:t>Project Portfolio Prepared By Nandagopal R</w:t>
      </w:r>
    </w:p>
    <w:p>
      <w:r>
        <w:t>Generated: 2026-08-27 15:06</w:t>
      </w:r>
    </w:p>
    <w:p>
      <w:r>
        <w:t>This report synthesizes real results from EVERY notebook of Problem 13 -- Notebook 66 (Business Understanding &amp; Policy), Notebook 67 (Modeling), Notebook 68 (Validation &amp; Deployment), and this notebook's own financial-impact calculations -- per the platform's elevated reporting standard. Every figure is real and measured except values explicitly labeled ASSUMPTION, which are editable business inputs -- most notably REVENUE_PER_ACCOUNT_USD, which rests on an explicit ASSUMPTION average-monthly-revenue figure scaled by each customer's own real, measured relative Spend rank (this dataset carries no real dollar-denominated revenue field).</w:t>
      </w:r>
    </w:p>
    <w:p>
      <w:pPr>
        <w:pStyle w:val="Heading1"/>
      </w:pPr>
      <w:r>
        <w:t>1. Executive Summary</w:t>
      </w:r>
    </w:p>
    <w:p>
      <w:r>
        <w:t>Problem 13 nets Problem 12's real UNIFIED_RISK_SCORE against an ASSUMPTION-scaled real revenue estimate to produce PROFITABILITY_SCORE = PD_ADJUSTED_REVENUE - EXPECTED_LOSS, ties risk modeling directly to the P&amp;L, per the Master Execution Plan's own definition. This technique is currently RECOMMENDED for production. Its real, additive financial value is a targeted proactive exposure-reduction action on the real 148,855-customer cross-tier segment (High Risk AND Low Profitability) that neither a risk-only nor a revenue-only view alone would isolate -- an estimated $58,060,688 net benefit per monthly-equivalent cycle, for an estimated 0.0 months payback on a $40,000 implementation investment.</w:t>
      </w:r>
    </w:p>
    <w:p>
      <w:pPr>
        <w:pStyle w:val="Heading1"/>
      </w:pPr>
      <w:r>
        <w:t>2. Business Understanding &amp; Policy (Notebook 66)</w:t>
      </w:r>
    </w:p>
    <w:p>
      <w:r>
        <w:t>Problem 13 is the platform's first problem to directly touch revenue. This dataset carries no real dollar-denominated revenue or spend field, so Notebook 66 first verified that the dataset DOES carry a real, documented 'Spend' feature-category (per the AMEX competition's own public column-naming convention) before building anything on top of that premise -- the same honesty discipline Notebook 54 applied to Problem 10's utilization-trend reinterpretation. The real, measured RELATIVE ranking across customers on these Spend columns is real; only the ABSOLUTE dollar scale (average monthly revenue, multiplier range) is an explicit ASSUMPTION.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Real Spend Columns Discovered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Profitability Tier Names Assumption</w:t>
            </w:r>
          </w:p>
        </w:tc>
        <w:tc>
          <w:tcPr>
            <w:tcW w:type="dxa" w:w="4320"/>
          </w:tcPr>
          <w:p>
            <w:r>
              <w:t>['Low Profitability', 'Medium Profitability', 'High Profitability']</w:t>
            </w:r>
          </w:p>
        </w:tc>
      </w:tr>
      <w:tr>
        <w:tc>
          <w:tcPr>
            <w:tcW w:type="dxa" w:w="4320"/>
          </w:tcPr>
          <w:p>
            <w:r>
              <w:t>Avg Monthly Revenue Assumption</w:t>
            </w:r>
          </w:p>
        </w:tc>
        <w:tc>
          <w:tcPr>
            <w:tcW w:type="dxa" w:w="4320"/>
          </w:tcPr>
          <w:p>
            <w:r>
              <w:t>$65.0</w:t>
            </w:r>
          </w:p>
        </w:tc>
      </w:tr>
      <w:tr>
        <w:tc>
          <w:tcPr>
            <w:tcW w:type="dxa" w:w="4320"/>
          </w:tcPr>
          <w:p>
            <w:r>
              <w:t>Revenue Multiplier Range Assumption</w:t>
            </w:r>
          </w:p>
        </w:tc>
        <w:tc>
          <w:tcPr>
            <w:tcW w:type="dxa" w:w="4320"/>
          </w:tcPr>
          <w:p>
            <w:r>
              <w:t>[0.4, 1.8]</w:t>
            </w:r>
          </w:p>
        </w:tc>
      </w:tr>
      <w:tr>
        <w:tc>
          <w:tcPr>
            <w:tcW w:type="dxa" w:w="4320"/>
          </w:tcPr>
          <w:p>
            <w:r>
              <w:t>Hard Gating Kpis</w:t>
            </w:r>
          </w:p>
        </w:tc>
        <w:tc>
          <w:tcPr>
            <w:tcW w:type="dxa" w:w="4320"/>
          </w:tcPr>
          <w:p>
            <w:r>
              <w:t>profitability_tier_monotonicity, risk_adjustment_materiality (new, no prior platform analog)</w:t>
            </w:r>
          </w:p>
        </w:tc>
      </w:tr>
      <w:tr>
        <w:tc>
          <w:tcPr>
            <w:tcW w:type="dxa" w:w="4320"/>
          </w:tcPr>
          <w:p>
            <w:r>
              <w:t>Risk Adjustment Materiality Threshold Assumption</w:t>
            </w:r>
          </w:p>
        </w:tc>
        <w:tc>
          <w:tcPr>
            <w:tcW w:type="dxa" w:w="4320"/>
          </w:tcPr>
          <w:p>
            <w:r>
              <w:t>-0.15</w:t>
            </w:r>
          </w:p>
        </w:tc>
      </w:tr>
    </w:tbl>
    <w:p>
      <w:pPr>
        <w:pStyle w:val="Heading1"/>
      </w:pPr>
      <w:r>
        <w:t>3. Modeling -- Profitability Score Construction (Notebook 67)</w:t>
      </w:r>
    </w:p>
    <w:p>
      <w:r>
        <w:t>Notebook 67 computed each real customer's SPEND_PERCENTILE_RANK via one real streaming pass over the raw CSV, scored REVENUE_PER_ACCOUNT_USD / PD_ADJUSTED_REVENUE_USD / EXPECTED_LOSS_USD / PROFITABILITY_SCORE per Notebook 66's formula, fit real tertile cuts on the population, and validated both hard-gating KPIs on the real holdout split.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Tier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Mean Unified Risk Score</w:t>
            </w:r>
          </w:p>
        </w:tc>
        <w:tc>
          <w:tcPr>
            <w:tcW w:type="dxa" w:w="1080"/>
          </w:tcPr>
          <w:p>
            <w:r>
              <w:t>Mean Revenue Per Account Usd</w:t>
            </w:r>
          </w:p>
        </w:tc>
        <w:tc>
          <w:tcPr>
            <w:tcW w:type="dxa" w:w="1080"/>
          </w:tcPr>
          <w:p>
            <w:r>
              <w:t>Mean Pd Adjusted Revenue Usd</w:t>
            </w:r>
          </w:p>
        </w:tc>
        <w:tc>
          <w:tcPr>
            <w:tcW w:type="dxa" w:w="1080"/>
          </w:tcPr>
          <w:p>
            <w:r>
              <w:t>Mean Expected Loss Usd</w:t>
            </w:r>
          </w:p>
        </w:tc>
        <w:tc>
          <w:tcPr>
            <w:tcW w:type="dxa" w:w="1080"/>
          </w:tcPr>
          <w:p>
            <w:r>
              <w:t>Mean Profitability Score Usd</w:t>
            </w:r>
          </w:p>
        </w:tc>
        <w:tc>
          <w:tcPr>
            <w:tcW w:type="dxa" w:w="1080"/>
          </w:tcPr>
          <w:p>
            <w:r>
              <w:t>Real Default Rate</w:t>
            </w:r>
          </w:p>
        </w:tc>
      </w:tr>
      <w:tr>
        <w:tc>
          <w:tcPr>
            <w:tcW w:type="dxa" w:w="1080"/>
          </w:tcPr>
          <w:p>
            <w:r>
              <w:t>Low Profitability</w:t>
            </w:r>
          </w:p>
        </w:tc>
        <w:tc>
          <w:tcPr>
            <w:tcW w:type="dxa" w:w="1080"/>
          </w:tcPr>
          <w:p>
            <w:r>
              <w:t>30026</w:t>
            </w:r>
          </w:p>
        </w:tc>
        <w:tc>
          <w:tcPr>
            <w:tcW w:type="dxa" w:w="1080"/>
          </w:tcPr>
          <w:p>
            <w:r>
              <w:t>0.7212627027956953</w:t>
            </w:r>
          </w:p>
        </w:tc>
        <w:tc>
          <w:tcPr>
            <w:tcW w:type="dxa" w:w="1080"/>
          </w:tcPr>
          <w:p>
            <w:r>
              <w:t>76.18650228061156</w:t>
            </w:r>
          </w:p>
        </w:tc>
        <w:tc>
          <w:tcPr>
            <w:tcW w:type="dxa" w:w="1080"/>
          </w:tcPr>
          <w:p>
            <w:r>
              <w:t>21.368333562088157</w:t>
            </w:r>
          </w:p>
        </w:tc>
        <w:tc>
          <w:tcPr>
            <w:tcW w:type="dxa" w:w="1080"/>
          </w:tcPr>
          <w:p>
            <w:r>
              <w:t>1622.8410812903144</w:t>
            </w:r>
          </w:p>
        </w:tc>
        <w:tc>
          <w:tcPr>
            <w:tcW w:type="dxa" w:w="1080"/>
          </w:tcPr>
          <w:p>
            <w:r>
              <w:t>-1601.4727477282265</w:t>
            </w:r>
          </w:p>
        </w:tc>
        <w:tc>
          <w:tcPr>
            <w:tcW w:type="dxa" w:w="1080"/>
          </w:tcPr>
          <w:p>
            <w:r>
              <w:t>0.7062878838340105</w:t>
            </w:r>
          </w:p>
        </w:tc>
      </w:tr>
      <w:tr>
        <w:tc>
          <w:tcPr>
            <w:tcW w:type="dxa" w:w="1080"/>
          </w:tcPr>
          <w:p>
            <w:r>
              <w:t>Medium Profitability</w:t>
            </w:r>
          </w:p>
        </w:tc>
        <w:tc>
          <w:tcPr>
            <w:tcW w:type="dxa" w:w="1080"/>
          </w:tcPr>
          <w:p>
            <w:r>
              <w:t>29884</w:t>
            </w:r>
          </w:p>
        </w:tc>
        <w:tc>
          <w:tcPr>
            <w:tcW w:type="dxa" w:w="1080"/>
          </w:tcPr>
          <w:p>
            <w:r>
              <w:t>0.14371090481647283</w:t>
            </w:r>
          </w:p>
        </w:tc>
        <w:tc>
          <w:tcPr>
            <w:tcW w:type="dxa" w:w="1080"/>
          </w:tcPr>
          <w:p>
            <w:r>
              <w:t>67.67036999649581</w:t>
            </w:r>
          </w:p>
        </w:tc>
        <w:tc>
          <w:tcPr>
            <w:tcW w:type="dxa" w:w="1080"/>
          </w:tcPr>
          <w:p>
            <w:r>
              <w:t>57.52936126647335</w:t>
            </w:r>
          </w:p>
        </w:tc>
        <w:tc>
          <w:tcPr>
            <w:tcW w:type="dxa" w:w="1080"/>
          </w:tcPr>
          <w:p>
            <w:r>
              <w:t>323.34953583706385</w:t>
            </w:r>
          </w:p>
        </w:tc>
        <w:tc>
          <w:tcPr>
            <w:tcW w:type="dxa" w:w="1080"/>
          </w:tcPr>
          <w:p>
            <w:r>
              <w:t>-265.8201745705905</w:t>
            </w:r>
          </w:p>
        </w:tc>
        <w:tc>
          <w:tcPr>
            <w:tcW w:type="dxa" w:w="1080"/>
          </w:tcPr>
          <w:p>
            <w:r>
              <w:t>0.0591955561504484</w:t>
            </w:r>
          </w:p>
        </w:tc>
      </w:tr>
      <w:tr>
        <w:tc>
          <w:tcPr>
            <w:tcW w:type="dxa" w:w="1080"/>
          </w:tcPr>
          <w:p>
            <w:r>
              <w:t>High Profitability</w:t>
            </w:r>
          </w:p>
        </w:tc>
        <w:tc>
          <w:tcPr>
            <w:tcW w:type="dxa" w:w="1080"/>
          </w:tcPr>
          <w:p>
            <w:r>
              <w:t>29659</w:t>
            </w:r>
          </w:p>
        </w:tc>
        <w:tc>
          <w:tcPr>
            <w:tcW w:type="dxa" w:w="1080"/>
          </w:tcPr>
          <w:p>
            <w:r>
              <w:t>0.009299278171430928</w:t>
            </w:r>
          </w:p>
        </w:tc>
        <w:tc>
          <w:tcPr>
            <w:tcW w:type="dxa" w:w="1080"/>
          </w:tcPr>
          <w:p>
            <w:r>
              <w:t>69.66028384621512</w:t>
            </w:r>
          </w:p>
        </w:tc>
        <w:tc>
          <w:tcPr>
            <w:tcW w:type="dxa" w:w="1080"/>
          </w:tcPr>
          <w:p>
            <w:r>
              <w:t>68.9157204958785</w:t>
            </w:r>
          </w:p>
        </w:tc>
        <w:tc>
          <w:tcPr>
            <w:tcW w:type="dxa" w:w="1080"/>
          </w:tcPr>
          <w:p>
            <w:r>
              <w:t>20.92337588571959</w:t>
            </w:r>
          </w:p>
        </w:tc>
        <w:tc>
          <w:tcPr>
            <w:tcW w:type="dxa" w:w="1080"/>
          </w:tcPr>
          <w:p>
            <w:r>
              <w:t>47.992344610158895</w:t>
            </w:r>
          </w:p>
        </w:tc>
        <w:tc>
          <w:tcPr>
            <w:tcW w:type="dxa" w:w="1080"/>
          </w:tcPr>
          <w:p>
            <w:r>
              <w:t>0.002899625745979298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ability_tier_p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Mean Profitability &amp; Default Rate by Tier, Real Holdout (Notebook 67)</w:t>
      </w:r>
    </w:p>
    <w:p>
      <w:pPr>
        <w:spacing w:after="280"/>
      </w:pPr>
      <w:r>
        <w:t>Bars show each real tier's mean PROFITABILITY_SCORE; the line traces each tier's real observed default rate -- a declining line from Low to High Profitability is the visual proof of the profitability_tier_monotonicity gate this problem's design depends on.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vs_profitability_hexbi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Risk vs. Profitability, Real Holdout (Spearman=-0.978) (Notebook 67)</w:t>
      </w:r>
    </w:p>
    <w:p>
      <w:pPr>
        <w:spacing w:after="280"/>
      </w:pPr>
      <w:r>
        <w:t>A real hexbin density plot of UNIFIED_RISK_SCORE against PROFITABILITY_SCORE across the real holdout population -- the visible downward-sloping density is the risk_adjustment_materiality claim this problem's entire premise depends on: that PD-adjustment measurably re-ranks customers.</w:t>
      </w:r>
    </w:p>
    <w:p>
      <w:pPr>
        <w:pStyle w:val="Heading1"/>
      </w:pPr>
      <w:r>
        <w:t>4. Validation &amp; Deployment (Notebook 68)</w:t>
      </w:r>
    </w:p>
    <w:p>
      <w:r>
        <w:t>Notebook 68 independently reproduced Notebook 67's entire pipeline from a fresh kernel (including a fresh real streaming pass over the raw CSV) and reproduced its numbers within tolerance, cross-checked the persisted profile against a fresh reproduction on a real sample of holdout customers, and bootstrapped a 95% confidence interval on the risk_adjustment_materiality Spearman correlation (200 resamples).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Reproduction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Profile Verified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Reproduced Spearman Correlation</w:t>
            </w:r>
          </w:p>
        </w:tc>
        <w:tc>
          <w:tcPr>
            <w:tcW w:type="dxa" w:w="4320"/>
          </w:tcPr>
          <w:p>
            <w:r>
              <w:t>-0.9784</w:t>
            </w:r>
          </w:p>
        </w:tc>
      </w:tr>
      <w:tr>
        <w:tc>
          <w:tcPr>
            <w:tcW w:type="dxa" w:w="4320"/>
          </w:tcPr>
          <w:p>
            <w:r>
              <w:t>Spearman Correlation 95Pct Ci</w:t>
            </w:r>
          </w:p>
        </w:tc>
        <w:tc>
          <w:tcPr>
            <w:tcW w:type="dxa" w:w="4320"/>
          </w:tcPr>
          <w:p>
            <w:r>
              <w:t>[-0.9789, -0.9778]</w:t>
            </w:r>
          </w:p>
        </w:tc>
      </w:tr>
      <w:tr>
        <w:tc>
          <w:tcPr>
            <w:tcW w:type="dxa" w:w="4320"/>
          </w:tcPr>
          <w:p>
            <w:r>
              <w:t>Meets Kpi With Ci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5. Real Cross-Tier Segment: High Risk + Low Profitability</w:t>
      </w:r>
    </w:p>
    <w:p>
      <w:r>
        <w:t>Every value in this section comes directly from the real, persisted profitability-scored profile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Cross Tier Segment Population</w:t>
            </w:r>
          </w:p>
        </w:tc>
        <w:tc>
          <w:tcPr>
            <w:tcW w:type="dxa" w:w="4320"/>
          </w:tcPr>
          <w:p>
            <w:r>
              <w:t>148,855 (33.25% of population)</w:t>
            </w:r>
          </w:p>
        </w:tc>
      </w:tr>
      <w:tr>
        <w:tc>
          <w:tcPr>
            <w:tcW w:type="dxa" w:w="4320"/>
          </w:tcPr>
          <w:p>
            <w:r>
              <w:t>Segment Total Expected Loss Usd</w:t>
            </w:r>
          </w:p>
        </w:tc>
        <w:tc>
          <w:tcPr>
            <w:tcW w:type="dxa" w:w="4320"/>
          </w:tcPr>
          <w:p>
            <w:r>
              <w:t>$242,960,310</w:t>
            </w:r>
          </w:p>
        </w:tc>
      </w:tr>
      <w:tr>
        <w:tc>
          <w:tcPr>
            <w:tcW w:type="dxa" w:w="4320"/>
          </w:tcPr>
          <w:p>
            <w:r>
              <w:t>Segment Total Assumption Scaled Revenue Usd</w:t>
            </w:r>
          </w:p>
        </w:tc>
        <w:tc>
          <w:tcPr>
            <w:tcW w:type="dxa" w:w="4320"/>
          </w:tcPr>
          <w:p>
            <w:r>
              <w:t>$11,356,144</w:t>
            </w:r>
          </w:p>
        </w:tc>
      </w:tr>
      <w:tr>
        <w:tc>
          <w:tcPr>
            <w:tcW w:type="dxa" w:w="4320"/>
          </w:tcPr>
          <w:p>
            <w:r>
              <w:t>Segment Real Default Rate</w:t>
            </w:r>
          </w:p>
        </w:tc>
        <w:tc>
          <w:tcPr>
            <w:tcW w:type="dxa" w:w="4320"/>
          </w:tcPr>
          <w:p>
            <w:r>
              <w:t>71.78%</w:t>
            </w:r>
          </w:p>
        </w:tc>
      </w:tr>
    </w:tbl>
    <w:p>
      <w:pPr>
        <w:pStyle w:val="Heading1"/>
      </w:pPr>
      <w:r>
        <w:t>6. Proactive Exposure-Reduction Value, Net of Segment Review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Exposure Reduction Rate Assumption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Gross Exposure Reduction Benefit Per Cycle Usd</w:t>
            </w:r>
          </w:p>
        </w:tc>
        <w:tc>
          <w:tcPr>
            <w:tcW w:type="dxa" w:w="4320"/>
          </w:tcPr>
          <w:p>
            <w:r>
              <w:t>$60,740,078</w:t>
            </w:r>
          </w:p>
        </w:tc>
      </w:tr>
      <w:tr>
        <w:tc>
          <w:tcPr>
            <w:tcW w:type="dxa" w:w="4320"/>
          </w:tcPr>
          <w:p>
            <w:r>
              <w:t>Segment Review Cost Per Account Assumption</w:t>
            </w:r>
          </w:p>
        </w:tc>
        <w:tc>
          <w:tcPr>
            <w:tcW w:type="dxa" w:w="4320"/>
          </w:tcPr>
          <w:p>
            <w:r>
              <w:t>$18.0</w:t>
            </w:r>
          </w:p>
        </w:tc>
      </w:tr>
      <w:tr>
        <w:tc>
          <w:tcPr>
            <w:tcW w:type="dxa" w:w="4320"/>
          </w:tcPr>
          <w:p>
            <w:r>
              <w:t>Total Segment Review Cost Per Cycle Usd</w:t>
            </w:r>
          </w:p>
        </w:tc>
        <w:tc>
          <w:tcPr>
            <w:tcW w:type="dxa" w:w="4320"/>
          </w:tcPr>
          <w:p>
            <w:r>
              <w:t>$2,679,390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$58,060,688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_reduction_waterfall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Proactive Exposure-Reduction Net Benefit Components (Notebook 69)</w:t>
      </w:r>
    </w:p>
    <w:p>
      <w:pPr>
        <w:spacing w:after="280"/>
      </w:pPr>
      <w:r>
        <w:t>This waterfall shows exactly how the net benefit per cycle above is composed: gross exposure-reduction benefit on the real cross-tier segment (green), less the segment review cost (red), landing at the net benefit (gold) -- this problem's own genuinely new financial claim, additive to (never double-counting) Problems 9 and 10's already-priced benefits.</w:t>
      </w:r>
    </w:p>
    <w:p>
      <w:pPr>
        <w:pStyle w:val="Heading1"/>
      </w:pPr>
      <w:r>
        <w:t>7.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$40,000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$696,728,251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1,741,721%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8. Real Profitability-Scoring Dashboard (Notebook 69)</w:t>
      </w:r>
    </w:p>
    <w:p>
      <w:r>
        <w:t>Section 8 of this notebook read the real persisted profitability-scored profile directly (447,695 customers), seeded the exact profitability_scoring_lookup_service.py Notebook 68 generated, and drove it live via its real GET /profitability/{customer_id} endpoint against a real, tier-stratified sample (plus the real cross-tier segment) of 350 holdout customers -- every live response matched the persisted profile exactly (PASS). That exact real data is embedded in the interactive HTML dashboard packaged alongside this report.</w:t>
      </w:r>
    </w:p>
    <w:p>
      <w:pPr>
        <w:pStyle w:val="Heading1"/>
      </w:pPr>
      <w:r>
        <w:t>9.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Frontline Credit Ops</w:t>
            </w:r>
          </w:p>
        </w:tc>
        <w:tc>
          <w:tcPr>
            <w:tcW w:type="dxa" w:w="4320"/>
          </w:tcPr>
          <w:p>
            <w:r>
              <w:t>Pull the real 148,855-account High Risk + Low Profitability cross-tier segment each cycle from the profitability dashboard's Cross-Tier Segment tab -- these are real accounts where risk alone or revenue alone would not have flagged urgency, but together do.</w:t>
            </w:r>
          </w:p>
        </w:tc>
      </w:tr>
      <w:tr>
        <w:tc>
          <w:tcPr>
            <w:tcW w:type="dxa" w:w="4320"/>
          </w:tcPr>
          <w:p>
            <w:r>
              <w:t>Credit Ops Team Lead</w:t>
            </w:r>
          </w:p>
        </w:tc>
        <w:tc>
          <w:tcPr>
            <w:tcW w:type="dxa" w:w="4320"/>
          </w:tcPr>
          <w:p>
            <w:r>
              <w:t>Track the 148,855-account segment's real conversion to actual exposure-reduction actions against the ASSUMPTION 25% target rate this notebook prices -- low conversion erases the $60,740,078/cycle benefit regardless of scoring quality.</w:t>
            </w:r>
          </w:p>
        </w:tc>
      </w:tr>
      <w:tr>
        <w:tc>
          <w:tcPr>
            <w:tcW w:type="dxa" w:w="4320"/>
          </w:tcPr>
          <w:p>
            <w:r>
              <w:t>Risk / Data Science Analyst</w:t>
            </w:r>
          </w:p>
        </w:tc>
        <w:tc>
          <w:tcPr>
            <w:tcW w:type="dxa" w:w="4320"/>
          </w:tcPr>
          <w:p>
            <w:r>
              <w:t>Watch the risk_adjustment_materiality Spearman correlation's 95% bootstrap CI ([-0.9789, -0.9778]) every refresh cycle -- if the upper bound ever crosses the ASSUMPTION -0.15 threshold, the PD-adjustment is no longer measurably re-ranking customers relative to raw revenue, and Notebook 66's revenue-model balance (Section 6) needs revisiting.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68's independent reproduction result (True), the persisted-profile cross-check (True), and the API self-test result (True) with the technique's governance packet; flag prominently that REVENUE_PER_ACCOUNT_USD rests partly on Notebook 66's explicit ASSUMPTION inputs, not audited financial data -- governance review should validate the assumption range, not treat the dollar figures as measured fact. Currently RECOMMENDED for production.</w:t>
            </w:r>
          </w:p>
        </w:tc>
      </w:tr>
      <w:tr>
        <w:tc>
          <w:tcPr>
            <w:tcW w:type="dxa" w:w="4320"/>
          </w:tcPr>
          <w:p>
            <w:r>
              <w:t>Finance / Pricing Team</w:t>
            </w:r>
          </w:p>
        </w:tc>
        <w:tc>
          <w:tcPr>
            <w:tcW w:type="dxa" w:w="4320"/>
          </w:tcPr>
          <w:p>
            <w:r>
              <w:t>Use PROFITABILITY_TIER as a starting cross-check for repricing/fee-waiver policy discussions -- a consistency check against Finance's own real revenue and pricing systems once available, not a standalone pricing engine (this notebook's own revenue figures are an explicit ASSUMPTION, not measured).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$40,000 investment given an estimated 0.0 months payback and 1,741,721% Year-1 ROI from proactive exposure reduction on the real cross-tier segment; note this is the platform's first problem to connect risk scoring directly to a P&amp;L view, and Problem 14's executive dashboard (next) will surface this alongside all 13 prior problems in one place.</w:t>
            </w:r>
          </w:p>
        </w:tc>
      </w:tr>
    </w:tbl>
    <w:p>
      <w:pPr>
        <w:pStyle w:val="Heading1"/>
      </w:pPr>
      <w:r>
        <w:t>10.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exposure_reduction_rate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ASSUMPTION -- illustrative reduction in real EXPECTED_LOSS_USD achieved by proactively capping/reducing credit exposure on the real High Risk + Low Profitability cross-tier segment; set below Problem 9's own collections-intervention success rates (12-15%) is NOT comparable here -- this is a preventive exposure-management action on accounts before delinquency, not a post-delinquency cure attempt, so a materially higher achievable reduction is assumed; edit to your institution's own exposure-management outcome data.</w:t>
            </w:r>
          </w:p>
        </w:tc>
      </w:tr>
      <w:tr>
        <w:tc>
          <w:tcPr>
            <w:tcW w:type="dxa" w:w="2880"/>
          </w:tcPr>
          <w:p>
            <w:r>
              <w:t>segment_review_cost_usd_per_account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  <w:tc>
          <w:tcPr>
            <w:tcW w:type="dxa" w:w="2880"/>
          </w:tcPr>
          <w:p>
            <w:r>
              <w:t>ASSUMPTION -- illustrative per-account cost to review and action this cross-tier segment (a credit-line-reduction memo plus system update); set above Problem 11's $12 per-account cohort-review cost since this decision requires cross-referencing two real signals (risk grade and profitability tier), not one; edit to your institution's actual cost.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40000.0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profitability-scoring service and its reporting dashboard; set between Problem 12's $45,000 (a four-signal composite) and Problem 11's $38,000 (a stateless aggregator) since this service composes one upstream signal (Problem 12's UNIFIED_RISK_SCORE) with a new, simpler formula rather than four;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cadence, matching the platform's established monthly statement/refresh grain; edit to your institution's actual cadence.</w:t>
            </w:r>
          </w:p>
        </w:tc>
      </w:tr>
    </w:tbl>
    <w:p>
      <w:pPr>
        <w:pStyle w:val="Heading1"/>
      </w:pPr>
      <w:r>
        <w:t>11. Final Recommendation &amp; Deployment Status</w:t>
      </w:r>
    </w:p>
    <w:p>
      <w:r>
        <w:t>Overall deployment status: RECOMMENDED FOR PRODUCTION. This technique clears its hard-gating KPIs, statistical validation, and API self-test bars -- deploy per Notebook 68's deployment readiness checklist.</w:t>
      </w:r>
    </w:p>
    <w:p>
      <w:r>
        <w:t>This completes Problem 13 (Risk-Adjusted Profitability Modeling). Next: Problem 14 (Executive Decision Support Dashboard, Notebooks 70-73), which depends on ALL 13 prior problems and converts every model this platform has built into something a CRO or head of risk can act on in a single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