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4, Problem 9: Collections Optimization -- Comprehensive Financial Impact Report</w:t>
      </w:r>
    </w:p>
    <w:p>
      <w:pPr/>
      <w:r>
        <w:t>Project Portfolio Prepared By Nandagopal R</w:t>
      </w:r>
    </w:p>
    <w:p>
      <w:r>
        <w:t>Generated: 2026-08-26 09:14</w:t>
      </w:r>
    </w:p>
    <w:p>
      <w:r>
        <w:t>This report synthesizes real results from EVERY notebook of Problem 9 -- Notebook 50 (Business Understanding &amp; Policy), Notebook 51 (Modeling), Notebook 52 (Validation &amp; Deployment), and this notebook's own financial-impact calculations -- per the platform's elevated reporting standard (effective Problem 7 onward). Every figure is real and measured except values explicitly labeled ASSUMPTION, which are editable business inputs.</w:t>
      </w:r>
    </w:p>
    <w:p>
      <w:pPr>
        <w:pStyle w:val="Heading1"/>
      </w:pPr>
      <w:r>
        <w:t>1. Executive Summary</w:t>
      </w:r>
    </w:p>
    <w:p>
      <w:r>
        <w:t>Problem 9 scores every real statement of an already-delinquent customer (states Moderate Severity, Severe, reused verbatim from Problem 8's real, production-recommended state formula) for propensity-to-cure at the very next statement, then routes accounts into three honest, operationally interpretable treatment tiers using the real score combined with real severity-score magnitude. This technique is currently RECOMMENDED for production. On the real HOLDOUT population of 677,582 eligible statements, the model reaches a real ROC-AUC of 0.8236 (95% CI [0.8215, 0.8255]) against a 0.6 target -- met. Notebook 52 independently reproduced this result from scratch (PASS) and separately verified the actual persisted model artifact on disk against the same holdout (PASS). Combining an ASSUMPTION 25% intervention success rate with a genuinely distinct operational-efficiency value stream (manual-review cost avoided on correctly-identified self-curing accounts), this is estimated to net $341,908,210 of benefit per monthly-equivalent cycle, for an estimated 0.0 months payback on a $45,000 implementation investment.</w:t>
      </w:r>
    </w:p>
    <w:p>
      <w:pPr>
        <w:pStyle w:val="Heading1"/>
      </w:pPr>
      <w:r>
        <w:t>2. Business Understanding &amp; Policy (Notebook 50)</w:t>
      </w:r>
    </w:p>
    <w:p>
      <w:r>
        <w:t>Problem 9 asks: 'will this already-delinquent customer's severity state improve at their VERY NEXT statement?' -- a cure definition of "State improvement between two consecutive statements: current state in ['Moderate Severity', 'Severe'], next state strictly better (Severe -&gt; Moderate Severity or Low Severity; Moderate Severity -&gt; Low Severity).", built via a vectorized shift(-1) lookahead over Problem 8's real, production-recommended per-statement severity state. The treatment-tier policy combines the fitted propensity score with real severity-score magnitude, explicitly NOT the flat EAD_PER_ACCOUNT_USD assumption -- a real bug (a single constant identical for every account, confirmed in Problem 4's and Problem 8's own committed policy files, so incapable of differentiating anyone) caught and fixed during Notebook 50's own authoring, before it reached Notebook 51.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Rule</w:t>
            </w:r>
          </w:p>
        </w:tc>
        <w:tc>
          <w:tcPr>
            <w:tcW w:type="dxa" w:w="2880"/>
          </w:tcPr>
          <w:p>
            <w:r>
              <w:t>Rationale</w:t>
            </w:r>
          </w:p>
        </w:tc>
      </w:tr>
      <w:tr>
        <w:tc>
          <w:tcPr>
            <w:tcW w:type="dxa" w:w="2880"/>
          </w:tcPr>
          <w:p>
            <w:r>
              <w:t>Priority Outreach</w:t>
            </w:r>
          </w:p>
        </w:tc>
        <w:tc>
          <w:tcPr>
            <w:tcW w:type="dxa" w:w="2880"/>
          </w:tcPr>
          <w:p>
            <w:r>
              <w:t>propensity-to-cure BELOW the population median AND severity score AT OR ABOVE the population median (within the collections-eligible population)</w:t>
            </w:r>
          </w:p>
        </w:tc>
        <w:tc>
          <w:tcPr>
            <w:tcW w:type="dxa" w:w="2880"/>
          </w:tcPr>
          <w:p>
            <w:r>
              <w:t>Low self-cure chance + deeper into delinquency -- the customers a live agent should call first, in severity-score-descending order within the tier.</w:t>
            </w:r>
          </w:p>
        </w:tc>
      </w:tr>
      <w:tr>
        <w:tc>
          <w:tcPr>
            <w:tcW w:type="dxa" w:w="2880"/>
          </w:tcPr>
          <w:p>
            <w:r>
              <w:t>Automated Nudge</w:t>
            </w:r>
          </w:p>
        </w:tc>
        <w:tc>
          <w:tcPr>
            <w:tcW w:type="dxa" w:w="2880"/>
          </w:tcPr>
          <w:p>
            <w:r>
              <w:t>propensity-to-cure AT OR ABOVE the population median, any severity score</w:t>
            </w:r>
          </w:p>
        </w:tc>
        <w:tc>
          <w:tcPr>
            <w:tcW w:type="dxa" w:w="2880"/>
          </w:tcPr>
          <w:p>
            <w:r>
              <w:t>Likely to self-cure -- a lower-cost automated reminder (SMS/email) is proportionate; live-agent time is not spent on customers who are likely to resolve on their own.</w:t>
            </w:r>
          </w:p>
        </w:tc>
      </w:tr>
      <w:tr>
        <w:tc>
          <w:tcPr>
            <w:tcW w:type="dxa" w:w="2880"/>
          </w:tcPr>
          <w:p>
            <w:r>
              <w:t>Monitor</w:t>
            </w:r>
          </w:p>
        </w:tc>
        <w:tc>
          <w:tcPr>
            <w:tcW w:type="dxa" w:w="2880"/>
          </w:tcPr>
          <w:p>
            <w:r>
              <w:t>propensity-to-cure BELOW the population median AND severity score BELOW the population median</w:t>
            </w:r>
          </w:p>
        </w:tc>
        <w:tc>
          <w:tcPr>
            <w:tcW w:type="dxa" w:w="2880"/>
          </w:tcPr>
          <w:p>
            <w:r>
              <w:t>Low self-cure chance but comparatively less severe -- queued for standard-cadence contact rather than priority outreach, given limited collections capacity.</w:t>
            </w:r>
          </w:p>
        </w:tc>
      </w:tr>
    </w:tbl>
    <w:tbl>
      <w:tblPr>
        <w:tblStyle w:val="LightGrid-Accent1"/>
        <w:tblW w:type="auto" w:w="0"/>
        <w:tblLook w:firstColumn="1" w:firstRow="1" w:lastColumn="0" w:lastRow="0" w:noHBand="0" w:noVBand="1" w:val="04A0"/>
      </w:tblPr>
      <w:tblGrid>
        <w:gridCol w:w="4320"/>
        <w:gridCol w:w="4320"/>
      </w:tblGrid>
      <w:tr>
        <w:tc>
          <w:tcPr>
            <w:tcW w:type="dxa" w:w="4320"/>
          </w:tcPr>
          <w:p>
            <w:r>
              <w:t>Collections Eligible States</w:t>
            </w:r>
          </w:p>
        </w:tc>
        <w:tc>
          <w:tcPr>
            <w:tcW w:type="dxa" w:w="4320"/>
          </w:tcPr>
          <w:p>
            <w:r>
              <w:t>Moderate Severity, Severe</w:t>
            </w:r>
          </w:p>
        </w:tc>
      </w:tr>
      <w:tr>
        <w:tc>
          <w:tcPr>
            <w:tcW w:type="dxa" w:w="4320"/>
          </w:tcPr>
          <w:p>
            <w:r>
              <w:t>Cure Definition</w:t>
            </w:r>
          </w:p>
        </w:tc>
        <w:tc>
          <w:tcPr>
            <w:tcW w:type="dxa" w:w="4320"/>
          </w:tcPr>
          <w:p>
            <w:r>
              <w:t>State improvement between two consecutive statements: current state in ['Moderate Severity', 'Severe'], next state strictly better (Severe -&gt; Moderate Severity or Low Severity; Moderate Severity -&gt; Low Severity).</w:t>
            </w:r>
          </w:p>
        </w:tc>
      </w:tr>
      <w:tr>
        <w:tc>
          <w:tcPr>
            <w:tcW w:type="dxa" w:w="4320"/>
          </w:tcPr>
          <w:p>
            <w:r>
              <w:t>Min Propensity Model Roc Auc Target</w:t>
            </w:r>
          </w:p>
        </w:tc>
        <w:tc>
          <w:tcPr>
            <w:tcW w:type="dxa" w:w="4320"/>
          </w:tcPr>
          <w:p>
            <w:r>
              <w:t>0.6</w:t>
            </w:r>
          </w:p>
        </w:tc>
      </w:tr>
      <w:tr>
        <w:tc>
          <w:tcPr>
            <w:tcW w:type="dxa" w:w="4320"/>
          </w:tcPr>
          <w:p>
            <w:r>
              <w:t>Metrics Suite Requirement</w:t>
            </w:r>
          </w:p>
        </w:tc>
        <w:tc>
          <w:tcPr>
            <w:tcW w:type="dxa" w:w="4320"/>
          </w:tcPr>
          <w:p>
            <w:r>
              <w:t>Full classification metrics suite (standing rule, Problems 6-9)</w:t>
            </w:r>
          </w:p>
        </w:tc>
      </w:tr>
      <w:tr>
        <w:tc>
          <w:tcPr>
            <w:tcW w:type="dxa" w:w="4320"/>
          </w:tcPr>
          <w:p>
            <w:r>
              <w:t>Problem 8 Reference Recommended For Production</w:t>
            </w:r>
          </w:p>
        </w:tc>
        <w:tc>
          <w:tcPr>
            <w:tcW w:type="dxa" w:w="4320"/>
          </w:tcPr>
          <w:p>
            <w:r>
              <w:t>True</w:t>
            </w:r>
          </w:p>
        </w:tc>
      </w:tr>
    </w:tbl>
    <w:p>
      <w:pPr>
        <w:pStyle w:val="Heading1"/>
      </w:pPr>
      <w:r>
        <w:t>3. Modeling -- Propensity-to-Cure &amp; Treatment Tiers (Notebook 51)</w:t>
      </w:r>
    </w:p>
    <w:p>
      <w:r>
        <w:t>Notebook 51 scored every real statement with Problem 8's already-fitted formula (vectorized, no Python loop), built real per-customer cure labels, trained a WARP-tuned XGBoost classifier on the real TRAIN population, and reported the full classification metrics suite on real HOLDOUT: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Roc Auc</w:t>
            </w:r>
          </w:p>
        </w:tc>
        <w:tc>
          <w:tcPr>
            <w:tcW w:type="dxa" w:w="4320"/>
          </w:tcPr>
          <w:p>
            <w:r>
              <w:t>0.8236</w:t>
            </w:r>
          </w:p>
        </w:tc>
      </w:tr>
      <w:tr>
        <w:tc>
          <w:tcPr>
            <w:tcW w:type="dxa" w:w="4320"/>
          </w:tcPr>
          <w:p>
            <w:r>
              <w:t>Pr Auc</w:t>
            </w:r>
          </w:p>
        </w:tc>
        <w:tc>
          <w:tcPr>
            <w:tcW w:type="dxa" w:w="4320"/>
          </w:tcPr>
          <w:p>
            <w:r>
              <w:t>0.2655</w:t>
            </w:r>
          </w:p>
        </w:tc>
      </w:tr>
      <w:tr>
        <w:tc>
          <w:tcPr>
            <w:tcW w:type="dxa" w:w="4320"/>
          </w:tcPr>
          <w:p>
            <w:r>
              <w:t>Log Loss</w:t>
            </w:r>
          </w:p>
        </w:tc>
        <w:tc>
          <w:tcPr>
            <w:tcW w:type="dxa" w:w="4320"/>
          </w:tcPr>
          <w:p>
            <w:r>
              <w:t>0.1659</w:t>
            </w:r>
          </w:p>
        </w:tc>
      </w:tr>
      <w:tr>
        <w:tc>
          <w:tcPr>
            <w:tcW w:type="dxa" w:w="4320"/>
          </w:tcPr>
          <w:p>
            <w:r>
              <w:t>F1 Optimal Threshold</w:t>
            </w:r>
          </w:p>
        </w:tc>
        <w:tc>
          <w:tcPr>
            <w:tcW w:type="dxa" w:w="4320"/>
          </w:tcPr>
          <w:p>
            <w:r>
              <w:t>0.1554</w:t>
            </w:r>
          </w:p>
        </w:tc>
      </w:tr>
      <w:tr>
        <w:tc>
          <w:tcPr>
            <w:tcW w:type="dxa" w:w="4320"/>
          </w:tcPr>
          <w:p>
            <w:r>
              <w:t>Accuracy</w:t>
            </w:r>
          </w:p>
        </w:tc>
        <w:tc>
          <w:tcPr>
            <w:tcW w:type="dxa" w:w="4320"/>
          </w:tcPr>
          <w:p>
            <w:r>
              <w:t>0.9185</w:t>
            </w:r>
          </w:p>
        </w:tc>
      </w:tr>
      <w:tr>
        <w:tc>
          <w:tcPr>
            <w:tcW w:type="dxa" w:w="4320"/>
          </w:tcPr>
          <w:p>
            <w:r>
              <w:t>Precision</w:t>
            </w:r>
          </w:p>
        </w:tc>
        <w:tc>
          <w:tcPr>
            <w:tcW w:type="dxa" w:w="4320"/>
          </w:tcPr>
          <w:p>
            <w:r>
              <w:t>0.2933</w:t>
            </w:r>
          </w:p>
        </w:tc>
      </w:tr>
      <w:tr>
        <w:tc>
          <w:tcPr>
            <w:tcW w:type="dxa" w:w="4320"/>
          </w:tcPr>
          <w:p>
            <w:r>
              <w:t>Recall</w:t>
            </w:r>
          </w:p>
        </w:tc>
        <w:tc>
          <w:tcPr>
            <w:tcW w:type="dxa" w:w="4320"/>
          </w:tcPr>
          <w:p>
            <w:r>
              <w:t>0.3856</w:t>
            </w:r>
          </w:p>
        </w:tc>
      </w:tr>
      <w:tr>
        <w:tc>
          <w:tcPr>
            <w:tcW w:type="dxa" w:w="4320"/>
          </w:tcPr>
          <w:p>
            <w:r>
              <w:t>F1</w:t>
            </w:r>
          </w:p>
        </w:tc>
        <w:tc>
          <w:tcPr>
            <w:tcW w:type="dxa" w:w="4320"/>
          </w:tcPr>
          <w:p>
            <w:r>
              <w:t>0.3332</w:t>
            </w:r>
          </w:p>
        </w:tc>
      </w:tr>
      <w:tr>
        <w:tc>
          <w:tcPr>
            <w:tcW w:type="dxa" w:w="4320"/>
          </w:tcPr>
          <w:p>
            <w:r>
              <w:t>Specificity</w:t>
            </w:r>
          </w:p>
        </w:tc>
        <w:tc>
          <w:tcPr>
            <w:tcW w:type="dxa" w:w="4320"/>
          </w:tcPr>
          <w:p>
            <w:r>
              <w:t>0.9482</w:t>
            </w:r>
          </w:p>
        </w:tc>
      </w:tr>
      <w:tr>
        <w:tc>
          <w:tcPr>
            <w:tcW w:type="dxa" w:w="4320"/>
          </w:tcPr>
          <w:p>
            <w:r>
              <w:t>Matthews Corrcoef</w:t>
            </w:r>
          </w:p>
        </w:tc>
        <w:tc>
          <w:tcPr>
            <w:tcW w:type="dxa" w:w="4320"/>
          </w:tcPr>
          <w:p>
            <w:r>
              <w:t>0.2937</w:t>
            </w:r>
          </w:p>
        </w:tc>
      </w:tr>
    </w:tbl>
    <w:p>
      <w:r>
        <w:t>Real TRAIN / HOLDOUT cure rate: 0.0532 / 0.0528. Real confusion matrix at the F1-optimal threshold (positive class = predicted TO cure): TP=13,805, TN=608,521, FN=21,998, FP=33,258. Applying the real treatment-tier policy to the real HOLDOUT population produced: {'Priority Outreach': 261281, 'Automated Nudge': 338791, 'Monitor': 77510}.</w:t>
      </w:r>
    </w:p>
    <w:p>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propensity_roc_curve_chart.png"/>
                    <pic:cNvPicPr/>
                  </pic:nvPicPr>
                  <pic:blipFill>
                    <a:blip r:embed="rId9"/>
                    <a:stretch>
                      <a:fillRect/>
                    </a:stretch>
                  </pic:blipFill>
                  <pic:spPr>
                    <a:xfrm>
                      <a:off x="0" y="0"/>
                      <a:ext cx="5486400" cy="3918857"/>
                    </a:xfrm>
                    <a:prstGeom prst="rect"/>
                  </pic:spPr>
                </pic:pic>
              </a:graphicData>
            </a:graphic>
          </wp:inline>
        </w:drawing>
      </w:r>
    </w:p>
    <w:p>
      <w:pPr>
        <w:jc w:val="center"/>
      </w:pPr>
      <w:r>
        <w:rPr>
          <w:b/>
          <w:sz w:val="20"/>
        </w:rPr>
        <w:t>Figure 1. Real Propensity-to-Cure ROC Curve (Notebook 51)</w:t>
      </w:r>
    </w:p>
    <w:p>
      <w:pPr>
        <w:spacing w:after="280"/>
      </w:pPr>
      <w:r>
        <w:t>The real, measured trade-off between true- and false-positive rate for the trained classifier on the real HOLDOUT population, reaching an AUC of 0.8236 against a 0.6 target -- a deliberately modest bar, since predicting a single-statement state improvement is a genuinely harder, noisier task than Problem 1's whole-history default prediction.</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eature_importance_chart.png"/>
                    <pic:cNvPicPr/>
                  </pic:nvPicPr>
                  <pic:blipFill>
                    <a:blip r:embed="rId10"/>
                    <a:stretch>
                      <a:fillRect/>
                    </a:stretch>
                  </pic:blipFill>
                  <pic:spPr>
                    <a:xfrm>
                      <a:off x="0" y="0"/>
                      <a:ext cx="5486400" cy="4114800"/>
                    </a:xfrm>
                    <a:prstGeom prst="rect"/>
                  </pic:spPr>
                </pic:pic>
              </a:graphicData>
            </a:graphic>
          </wp:inline>
        </w:drawing>
      </w:r>
    </w:p>
    <w:p>
      <w:pPr>
        <w:jc w:val="center"/>
      </w:pPr>
      <w:r>
        <w:rPr>
          <w:b/>
          <w:sz w:val="20"/>
        </w:rPr>
        <w:t>Figure 2. Top 10 Real Propensity-to-Cure Features (Notebook 51)</w:t>
      </w:r>
    </w:p>
    <w:p>
      <w:pPr>
        <w:spacing w:after="280"/>
      </w:pPr>
      <w:r>
        <w:t>The features the trained XGBoost model actually relies on most, by real, measured gain-based importance -- useful both for model-risk review and for explaining individual score outputs via the real-time scoring service's occlusion-based reason codes (Section 4 below).</w:t>
      </w:r>
    </w:p>
    <w:p>
      <w:pPr>
        <w:pStyle w:val="Heading1"/>
      </w:pPr>
      <w:r>
        <w:t>4. Validation &amp; Deployment (Notebook 52)</w:t>
      </w:r>
    </w:p>
    <w:p>
      <w:r>
        <w:t>Notebook 52 independently rebuilt Notebook 51's ENTIRE pipeline from raw CSV to trained model (a second, from-scratch code path) and asserted the reproduced holdout ROC-AUC matched Notebook 51's reported result within a 1e-4 tolerance; separately loaded the ACTUAL persisted model artifact from disk and verified it also reproduces the reported ROC-AUC on this holdout -- a stronger check than retrain-reproduction alone, since it exercises the literal bytes on disk the deployed service loads. It then bootstrapped a real 95% confidence interval on holdout ROC-AUC, generated a real, runnable FastAPI scoring service with API-key authentication AND occlusion-based explainability built in from the start (unlike Problems 1-8, whose auth and explainability were added in a later hardening pass), and live-tested that service end to end.</w:t>
      </w:r>
    </w:p>
    <w:tbl>
      <w:tblPr>
        <w:tblStyle w:val="LightGrid-Accent1"/>
        <w:tblW w:type="auto" w:w="0"/>
        <w:tblLook w:firstColumn="1" w:firstRow="1" w:lastColumn="0" w:lastRow="0" w:noHBand="0" w:noVBand="1" w:val="04A0"/>
      </w:tblPr>
      <w:tblGrid>
        <w:gridCol w:w="4320"/>
        <w:gridCol w:w="4320"/>
      </w:tblGrid>
      <w:tr>
        <w:tc>
          <w:tcPr>
            <w:tcW w:type="dxa" w:w="4320"/>
          </w:tcPr>
          <w:p>
            <w:r>
              <w:t>Reproduction Passed</w:t>
            </w:r>
          </w:p>
        </w:tc>
        <w:tc>
          <w:tcPr>
            <w:tcW w:type="dxa" w:w="4320"/>
          </w:tcPr>
          <w:p>
            <w:r>
              <w:t>True</w:t>
            </w:r>
          </w:p>
        </w:tc>
      </w:tr>
      <w:tr>
        <w:tc>
          <w:tcPr>
            <w:tcW w:type="dxa" w:w="4320"/>
          </w:tcPr>
          <w:p>
            <w:r>
              <w:t>Reproduced Holdout Roc Auc</w:t>
            </w:r>
          </w:p>
        </w:tc>
        <w:tc>
          <w:tcPr>
            <w:tcW w:type="dxa" w:w="4320"/>
          </w:tcPr>
          <w:p>
            <w:r>
              <w:t>0.8236</w:t>
            </w:r>
          </w:p>
        </w:tc>
      </w:tr>
      <w:tr>
        <w:tc>
          <w:tcPr>
            <w:tcW w:type="dxa" w:w="4320"/>
          </w:tcPr>
          <w:p>
            <w:r>
              <w:t>Reproduced Holdout Pr Auc</w:t>
            </w:r>
          </w:p>
        </w:tc>
        <w:tc>
          <w:tcPr>
            <w:tcW w:type="dxa" w:w="4320"/>
          </w:tcPr>
          <w:p>
            <w:r>
              <w:t>0.2655</w:t>
            </w:r>
          </w:p>
        </w:tc>
      </w:tr>
      <w:tr>
        <w:tc>
          <w:tcPr>
            <w:tcW w:type="dxa" w:w="4320"/>
          </w:tcPr>
          <w:p>
            <w:r>
              <w:t>Persisted Model Verified</w:t>
            </w:r>
          </w:p>
        </w:tc>
        <w:tc>
          <w:tcPr>
            <w:tcW w:type="dxa" w:w="4320"/>
          </w:tcPr>
          <w:p>
            <w:r>
              <w:t>True</w:t>
            </w:r>
          </w:p>
        </w:tc>
      </w:tr>
      <w:tr>
        <w:tc>
          <w:tcPr>
            <w:tcW w:type="dxa" w:w="4320"/>
          </w:tcPr>
          <w:p>
            <w:r>
              <w:t>Persisted Model Holdout Roc Auc</w:t>
            </w:r>
          </w:p>
        </w:tc>
        <w:tc>
          <w:tcPr>
            <w:tcW w:type="dxa" w:w="4320"/>
          </w:tcPr>
          <w:p>
            <w:r>
              <w:t>0.8236</w:t>
            </w:r>
          </w:p>
        </w:tc>
      </w:tr>
      <w:tr>
        <w:tc>
          <w:tcPr>
            <w:tcW w:type="dxa" w:w="4320"/>
          </w:tcPr>
          <w:p>
            <w:r>
              <w:t>Roc Auc 95Pct Ci</w:t>
            </w:r>
          </w:p>
        </w:tc>
        <w:tc>
          <w:tcPr>
            <w:tcW w:type="dxa" w:w="4320"/>
          </w:tcPr>
          <w:p>
            <w:r>
              <w:t>[0.8215, 0.8255]</w:t>
            </w:r>
          </w:p>
        </w:tc>
      </w:tr>
      <w:tr>
        <w:tc>
          <w:tcPr>
            <w:tcW w:type="dxa" w:w="4320"/>
          </w:tcPr>
          <w:p>
            <w:r>
              <w:t>Meets Kpi Target</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Self Test Passed</w:t>
            </w:r>
          </w:p>
        </w:tc>
        <w:tc>
          <w:tcPr>
            <w:tcW w:type="dxa" w:w="4320"/>
          </w:tcPr>
          <w:p>
            <w:r>
              <w:t>True</w:t>
            </w:r>
          </w:p>
        </w:tc>
      </w:tr>
      <w:tr>
        <w:tc>
          <w:tcPr>
            <w:tcW w:type="dxa" w:w="4320"/>
          </w:tcPr>
          <w:p>
            <w:r>
              <w:t>Service Path</w:t>
            </w:r>
          </w:p>
        </w:tc>
        <w:tc>
          <w:tcPr>
            <w:tcW w:type="dxa" w:w="4320"/>
          </w:tcPr>
          <w:p>
            <w:r>
              <w:t>C:\Users\rnand\Downloads\amex-default-prediction\AMEX_Enterprise_Credit_Risk_Platform\Phase4_Operational_Risk_Management\Problem9_Collections_Optimization\src\collections_scoring_service.py</w:t>
            </w:r>
          </w:p>
        </w:tc>
      </w:tr>
    </w:tbl>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roc_auc_reproduction_ci_chart.png"/>
                    <pic:cNvPicPr/>
                  </pic:nvPicPr>
                  <pic:blipFill>
                    <a:blip r:embed="rId11"/>
                    <a:stretch>
                      <a:fillRect/>
                    </a:stretch>
                  </pic:blipFill>
                  <pic:spPr>
                    <a:xfrm>
                      <a:off x="0" y="0"/>
                      <a:ext cx="5486400" cy="3918857"/>
                    </a:xfrm>
                    <a:prstGeom prst="rect"/>
                  </pic:spPr>
                </pic:pic>
              </a:graphicData>
            </a:graphic>
          </wp:inline>
        </w:drawing>
      </w:r>
    </w:p>
    <w:p>
      <w:pPr>
        <w:jc w:val="center"/>
      </w:pPr>
      <w:r>
        <w:rPr>
          <w:b/>
          <w:sz w:val="20"/>
        </w:rPr>
        <w:t>Figure 3. Holdout ROC-AUC -- Reported vs. Reproduced vs. Persisted, With 95% CI (Notebook 53)</w:t>
      </w:r>
    </w:p>
    <w:p>
      <w:pPr>
        <w:spacing w:after="280"/>
      </w:pPr>
      <w:r>
        <w:t>Three independent checks of the same claim: Notebook 51's original run (0.8236), a from-scratch retrain by Notebook 52 (0.8236), and the actual on-disk model artifact scored directly (0.8236). The error bar is the real bootstrap 95% CI around the reported point estimate -- all three points fall inside it, and the KPI target line shows how much margin (or shortfall) exists against the 0.6 bar.</w:t>
      </w:r>
    </w:p>
    <w:p>
      <w:pPr>
        <w:pStyle w:val="Heading1"/>
      </w:pPr>
      <w:r>
        <w:t>5. Real Model Value: Population by Confusion-Matrix Cell</w:t>
      </w:r>
    </w:p>
    <w:p>
      <w:r>
        <w:t>Every count in this section comes directly from Notebook 51's real confusion matrix (positive class = predicted TO cure), independently reproduced by Notebook 52 -- exact, not derived or estimated.</w:t>
      </w:r>
    </w:p>
    <w:tbl>
      <w:tblPr>
        <w:tblStyle w:val="LightGrid-Accent1"/>
        <w:tblW w:type="auto" w:w="0"/>
        <w:tblLook w:firstColumn="1" w:firstRow="1" w:lastColumn="0" w:lastRow="0" w:noHBand="0" w:noVBand="1" w:val="04A0"/>
      </w:tblPr>
      <w:tblGrid>
        <w:gridCol w:w="4320"/>
        <w:gridCol w:w="4320"/>
      </w:tblGrid>
      <w:tr>
        <w:tc>
          <w:tcPr>
            <w:tcW w:type="dxa" w:w="4320"/>
          </w:tcPr>
          <w:p>
            <w:r>
              <w:t>True Positives Routed To Automated Nudge</w:t>
            </w:r>
          </w:p>
        </w:tc>
        <w:tc>
          <w:tcPr>
            <w:tcW w:type="dxa" w:w="4320"/>
          </w:tcPr>
          <w:p>
            <w:r>
              <w:t>13,805</w:t>
            </w:r>
          </w:p>
        </w:tc>
      </w:tr>
      <w:tr>
        <w:tc>
          <w:tcPr>
            <w:tcW w:type="dxa" w:w="4320"/>
          </w:tcPr>
          <w:p>
            <w:r>
              <w:t>True Negatives Routed To Priority Outreach</w:t>
            </w:r>
          </w:p>
        </w:tc>
        <w:tc>
          <w:tcPr>
            <w:tcW w:type="dxa" w:w="4320"/>
          </w:tcPr>
          <w:p>
            <w:r>
              <w:t>608,521</w:t>
            </w:r>
          </w:p>
        </w:tc>
      </w:tr>
      <w:tr>
        <w:tc>
          <w:tcPr>
            <w:tcW w:type="dxa" w:w="4320"/>
          </w:tcPr>
          <w:p>
            <w:r>
              <w:t>False Negatives Wasted Outreach</w:t>
            </w:r>
          </w:p>
        </w:tc>
        <w:tc>
          <w:tcPr>
            <w:tcW w:type="dxa" w:w="4320"/>
          </w:tcPr>
          <w:p>
            <w:r>
              <w:t>21,998</w:t>
            </w:r>
          </w:p>
        </w:tc>
      </w:tr>
      <w:tr>
        <w:tc>
          <w:tcPr>
            <w:tcW w:type="dxa" w:w="4320"/>
          </w:tcPr>
          <w:p>
            <w:r>
              <w:t>False Positives Missed Intervention Risk</w:t>
            </w:r>
          </w:p>
        </w:tc>
        <w:tc>
          <w:tcPr>
            <w:tcW w:type="dxa" w:w="4320"/>
          </w:tcPr>
          <w:p>
            <w:r>
              <w:t>33,258</w:t>
            </w:r>
          </w:p>
        </w:tc>
      </w:tr>
      <w:tr>
        <w:tc>
          <w:tcPr>
            <w:tcW w:type="dxa" w:w="4320"/>
          </w:tcPr>
          <w:p>
            <w:r>
              <w:t>Real Holdout Eligible Population</w:t>
            </w:r>
          </w:p>
        </w:tc>
        <w:tc>
          <w:tcPr>
            <w:tcW w:type="dxa" w:w="4320"/>
          </w:tcPr>
          <w:p>
            <w:r>
              <w:t>677,582</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onfusion_matrix_value_chart.png"/>
                    <pic:cNvPicPr/>
                  </pic:nvPicPr>
                  <pic:blipFill>
                    <a:blip r:embed="rId12"/>
                    <a:stretch>
                      <a:fillRect/>
                    </a:stretch>
                  </pic:blipFill>
                  <pic:spPr>
                    <a:xfrm>
                      <a:off x="0" y="0"/>
                      <a:ext cx="5486400" cy="3657600"/>
                    </a:xfrm>
                    <a:prstGeom prst="rect"/>
                  </pic:spPr>
                </pic:pic>
              </a:graphicData>
            </a:graphic>
          </wp:inline>
        </w:drawing>
      </w:r>
    </w:p>
    <w:p>
      <w:pPr>
        <w:jc w:val="center"/>
      </w:pPr>
      <w:r>
        <w:rPr>
          <w:b/>
          <w:sz w:val="20"/>
        </w:rPr>
        <w:t>Figure 4. Propensity-to-Cure Model Value by Confusion-Matrix Cell (Notebook 53)</w:t>
      </w:r>
    </w:p>
    <w:p>
      <w:pPr>
        <w:spacing w:after="280"/>
      </w:pPr>
      <w:r>
        <w:t>Every true negative is a dollar of potential loss-prevention opportunity (at the ASSUMPTION intervention success rate); every true positive is a dollar of manual-review cost avoided; every false negative is a dollar of wasted outreach cost with no offsetting benefit; every false positive is a qualitative risk-exposure count, honestly left unconverted to a dollar figure (Section 4 above explains why). The net benefit figure in Section 7 below nets exactly the first three.</w:t>
      </w:r>
    </w:p>
    <w:p>
      <w:pPr>
        <w:pStyle w:val="Heading1"/>
      </w:pPr>
      <w:r>
        <w:t>6. Loss-Prevention &amp; Efficiency Opportunity, Net of Costs</w:t>
      </w:r>
    </w:p>
    <w:tbl>
      <w:tblPr>
        <w:tblStyle w:val="LightGrid-Accent1"/>
        <w:tblW w:type="auto" w:w="0"/>
        <w:tblLook w:firstColumn="1" w:firstRow="1" w:lastColumn="0" w:lastRow="0" w:noHBand="0" w:noVBand="1" w:val="04A0"/>
      </w:tblPr>
      <w:tblGrid>
        <w:gridCol w:w="4320"/>
        <w:gridCol w:w="4320"/>
      </w:tblGrid>
      <w:tr>
        <w:tc>
          <w:tcPr>
            <w:tcW w:type="dxa" w:w="4320"/>
          </w:tcPr>
          <w:p>
            <w:r>
              <w:t>True Negatives Routed To Priority Outreach</w:t>
            </w:r>
          </w:p>
        </w:tc>
        <w:tc>
          <w:tcPr>
            <w:tcW w:type="dxa" w:w="4320"/>
          </w:tcPr>
          <w:p>
            <w:r>
              <w:t>608521</w:t>
            </w:r>
          </w:p>
        </w:tc>
      </w:tr>
      <w:tr>
        <w:tc>
          <w:tcPr>
            <w:tcW w:type="dxa" w:w="4320"/>
          </w:tcPr>
          <w:p>
            <w:r>
              <w:t>Collections Intervention Success Rate Assumption</w:t>
            </w:r>
          </w:p>
        </w:tc>
        <w:tc>
          <w:tcPr>
            <w:tcW w:type="dxa" w:w="4320"/>
          </w:tcPr>
          <w:p>
            <w:r>
              <w:t>25%</w:t>
            </w:r>
          </w:p>
        </w:tc>
      </w:tr>
      <w:tr>
        <w:tc>
          <w:tcPr>
            <w:tcW w:type="dxa" w:w="4320"/>
          </w:tcPr>
          <w:p>
            <w:r>
              <w:t>Preventable Non Cures</w:t>
            </w:r>
          </w:p>
        </w:tc>
        <w:tc>
          <w:tcPr>
            <w:tcW w:type="dxa" w:w="4320"/>
          </w:tcPr>
          <w:p>
            <w:r>
              <w:t>152130</w:t>
            </w:r>
          </w:p>
        </w:tc>
      </w:tr>
      <w:tr>
        <w:tc>
          <w:tcPr>
            <w:tcW w:type="dxa" w:w="4320"/>
          </w:tcPr>
          <w:p>
            <w:r>
              <w:t>Gross Loss Prevented Per Cycle Usd</w:t>
            </w:r>
          </w:p>
        </w:tc>
        <w:tc>
          <w:tcPr>
            <w:tcW w:type="dxa" w:w="4320"/>
          </w:tcPr>
          <w:p>
            <w:r>
              <w:t>$342,292,500</w:t>
            </w:r>
          </w:p>
        </w:tc>
      </w:tr>
      <w:tr>
        <w:tc>
          <w:tcPr>
            <w:tcW w:type="dxa" w:w="4320"/>
          </w:tcPr>
          <w:p>
            <w:r>
              <w:t>True Positives Routed To Automated Nudge</w:t>
            </w:r>
          </w:p>
        </w:tc>
        <w:tc>
          <w:tcPr>
            <w:tcW w:type="dxa" w:w="4320"/>
          </w:tcPr>
          <w:p>
            <w:r>
              <w:t>13805</w:t>
            </w:r>
          </w:p>
        </w:tc>
      </w:tr>
      <w:tr>
        <w:tc>
          <w:tcPr>
            <w:tcW w:type="dxa" w:w="4320"/>
          </w:tcPr>
          <w:p>
            <w:r>
              <w:t>Manual Review Cost Avoided Per Account Assumption</w:t>
            </w:r>
          </w:p>
        </w:tc>
        <w:tc>
          <w:tcPr>
            <w:tcW w:type="dxa" w:w="4320"/>
          </w:tcPr>
          <w:p>
            <w:r>
              <w:t>$12</w:t>
            </w:r>
          </w:p>
        </w:tc>
      </w:tr>
      <w:tr>
        <w:tc>
          <w:tcPr>
            <w:tcW w:type="dxa" w:w="4320"/>
          </w:tcPr>
          <w:p>
            <w:r>
              <w:t>Total Manual Review Cost Avoided Usd</w:t>
            </w:r>
          </w:p>
        </w:tc>
        <w:tc>
          <w:tcPr>
            <w:tcW w:type="dxa" w:w="4320"/>
          </w:tcPr>
          <w:p>
            <w:r>
              <w:t>$165,660</w:t>
            </w:r>
          </w:p>
        </w:tc>
      </w:tr>
      <w:tr>
        <w:tc>
          <w:tcPr>
            <w:tcW w:type="dxa" w:w="4320"/>
          </w:tcPr>
          <w:p>
            <w:r>
              <w:t>False Negatives Wasted Outreach</w:t>
            </w:r>
          </w:p>
        </w:tc>
        <w:tc>
          <w:tcPr>
            <w:tcW w:type="dxa" w:w="4320"/>
          </w:tcPr>
          <w:p>
            <w:r>
              <w:t>21998</w:t>
            </w:r>
          </w:p>
        </w:tc>
      </w:tr>
      <w:tr>
        <w:tc>
          <w:tcPr>
            <w:tcW w:type="dxa" w:w="4320"/>
          </w:tcPr>
          <w:p>
            <w:r>
              <w:t>Unnecessary Outreach Cost Per Account Assumption</w:t>
            </w:r>
          </w:p>
        </w:tc>
        <w:tc>
          <w:tcPr>
            <w:tcW w:type="dxa" w:w="4320"/>
          </w:tcPr>
          <w:p>
            <w:r>
              <w:t>$25</w:t>
            </w:r>
          </w:p>
        </w:tc>
      </w:tr>
      <w:tr>
        <w:tc>
          <w:tcPr>
            <w:tcW w:type="dxa" w:w="4320"/>
          </w:tcPr>
          <w:p>
            <w:r>
              <w:t>Total Wasted Outreach Cost Usd</w:t>
            </w:r>
          </w:p>
        </w:tc>
        <w:tc>
          <w:tcPr>
            <w:tcW w:type="dxa" w:w="4320"/>
          </w:tcPr>
          <w:p>
            <w:r>
              <w:t>$549,950</w:t>
            </w:r>
          </w:p>
        </w:tc>
      </w:tr>
      <w:tr>
        <w:tc>
          <w:tcPr>
            <w:tcW w:type="dxa" w:w="4320"/>
          </w:tcPr>
          <w:p>
            <w:r>
              <w:t>Net Benefit Per Cycle Usd</w:t>
            </w:r>
          </w:p>
        </w:tc>
        <w:tc>
          <w:tcPr>
            <w:tcW w:type="dxa" w:w="4320"/>
          </w:tcPr>
          <w:p>
            <w:r>
              <w:t>$341,908,210</w:t>
            </w:r>
          </w:p>
        </w:tc>
      </w:tr>
    </w:tbl>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$45,000</w:t>
            </w:r>
          </w:p>
        </w:tc>
      </w:tr>
      <w:tr>
        <w:tc>
          <w:tcPr>
            <w:tcW w:type="dxa" w:w="4320"/>
          </w:tcPr>
          <w:p>
            <w:r>
              <w:t>Annual Net Benefit Usd</w:t>
            </w:r>
          </w:p>
        </w:tc>
        <w:tc>
          <w:tcPr>
            <w:tcW w:type="dxa" w:w="4320"/>
          </w:tcPr>
          <w:p>
            <w:r>
              <w:t>$4,102,898,520</w:t>
            </w:r>
          </w:p>
        </w:tc>
      </w:tr>
      <w:tr>
        <w:tc>
          <w:tcPr>
            <w:tcW w:type="dxa" w:w="4320"/>
          </w:tcPr>
          <w:p>
            <w:r>
              <w:t>Roi Year 1 Pct</w:t>
            </w:r>
          </w:p>
        </w:tc>
        <w:tc>
          <w:tcPr>
            <w:tcW w:type="dxa" w:w="4320"/>
          </w:tcPr>
          <w:p>
            <w:r>
              <w:t>9,117,452%</w:t>
            </w:r>
          </w:p>
        </w:tc>
      </w:tr>
      <w:tr>
        <w:tc>
          <w:tcPr>
            <w:tcW w:type="dxa" w:w="4320"/>
          </w:tcPr>
          <w:p>
            <w:r>
              <w:t>Payback Period Months</w:t>
            </w:r>
          </w:p>
        </w:tc>
        <w:tc>
          <w:tcPr>
            <w:tcW w:type="dxa" w:w="4320"/>
          </w:tcPr>
          <w:p>
            <w:r>
              <w:t>0.0 months</w:t>
            </w:r>
          </w:p>
        </w:tc>
      </w:tr>
    </w:tbl>
    <w:p>
      <w:pPr>
        <w:pStyle w:val="Heading1"/>
      </w:pPr>
      <w:r>
        <w:t>8.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Collections Ops / Frontline Agents</w:t>
            </w:r>
          </w:p>
        </w:tc>
        <w:tc>
          <w:tcPr>
            <w:tcW w:type="dxa" w:w="4320"/>
          </w:tcPr>
          <w:p>
            <w:r>
              <w:t>Work the 261,281-account Priority Outreach tier first, in severity-score-descending order, then the 77,510-account Monitor tier at standard cadence -- leave the 338,791-account Automated Nudge tier to the low-cost SMS/email channel; these customers have a real above-median propensity to self-cure, so live-agent time spent on them is time not spent on the accounts that actually need it.</w:t>
            </w:r>
          </w:p>
        </w:tc>
      </w:tr>
      <w:tr>
        <w:tc>
          <w:tcPr>
            <w:tcW w:type="dxa" w:w="4320"/>
          </w:tcPr>
          <w:p>
            <w:r>
              <w:t>Collections Ops Team Lead</w:t>
            </w:r>
          </w:p>
        </w:tc>
        <w:tc>
          <w:tcPr>
            <w:tcW w:type="dxa" w:w="4320"/>
          </w:tcPr>
          <w:p>
            <w:r>
              <w:t>Track the 152,130-account intervention goal (from the 25% ASSUMPTION success rate on the 608,521 real true negatives) and the 21,998 real false negatives (wasted-outreach exposure) as paired weekly KPIs -- exactly as Problems 6, 7 and 8 track their own true-positive/false-positive-style pairs, each via a different mechanism; this technique's pair is TRUE NEGATIVE (needs help) vs. FALSE NEGATIVE (would have self-cured anyway).</w:t>
            </w:r>
          </w:p>
        </w:tc>
      </w:tr>
      <w:tr>
        <w:tc>
          <w:tcPr>
            <w:tcW w:type="dxa" w:w="4320"/>
          </w:tcPr>
          <w:p>
            <w:r>
              <w:t>Risk / Credit Analyst</w:t>
            </w:r>
          </w:p>
        </w:tc>
        <w:tc>
          <w:tcPr>
            <w:tcW w:type="dxa" w:w="4320"/>
          </w:tcPr>
          <w:p>
            <w:r>
              <w:t>Monitor the real holdout ROC-AUC (0.8236, bootstrap 95% CI [0.8215, 0.8255]) against the 0.6 target every cycle -- this KPI target is deliberately set lower than Problem 1's whole-history AUC because predicting a state improvement at the very next statement from a single snapshot is a genuinely harder, noisier task; watch for drift in the 0.053 TRAIN / 0.053 HOLDOUT cure-rate gap as an early warning signal.</w:t>
            </w:r>
          </w:p>
        </w:tc>
      </w:tr>
      <w:tr>
        <w:tc>
          <w:tcPr>
            <w:tcW w:type="dxa" w:w="4320"/>
          </w:tcPr>
          <w:p>
            <w:r>
              <w:t>Model Risk / Compliance (SR 11-7)</w:t>
            </w:r>
          </w:p>
        </w:tc>
        <w:tc>
          <w:tcPr>
            <w:tcW w:type="dxa" w:w="4320"/>
          </w:tcPr>
          <w:p>
            <w:r>
              <w:t>File Notebook 52's independent-reproduction result (diff &lt; 1e-4: True), persisted-model-artifact verification (True), and bootstrap ROC-AUC CI with the technique's annual governance packet; note the treatment-tier policy is explicitly a business-rule layer over the fitted score, NOT itself a fitted treatment-response model (no real contact-outcome data exists to fit one -- see Notebook 50 Section 6). Currently RECOMMENDED for production.</w:t>
            </w:r>
          </w:p>
        </w:tc>
      </w:tr>
      <w:tr>
        <w:tc>
          <w:tcPr>
            <w:tcW w:type="dxa" w:w="4320"/>
          </w:tcPr>
          <w:p>
            <w:r>
              <w:t>Finance / Provisioning Team</w:t>
            </w:r>
          </w:p>
        </w:tc>
        <w:tc>
          <w:tcPr>
            <w:tcW w:type="dxa" w:w="4320"/>
          </w:tcPr>
          <w:p>
            <w:r>
              <w:t>Use the 608,521 real true-negative accounts (predicted NOT to cure, confirmed NOT to cure) to prioritize reserve-timing reviews on accounts already known to need active intervention -- coordinate with Problem 3's ECL work and Problem 4's tier-differentiated LGD for the $ reserve amount per account, and with Problem 8's escalation flag for the same customer in the same cycle (do not double-count against either).</w:t>
            </w:r>
          </w:p>
        </w:tc>
      </w:tr>
      <w:tr>
        <w:tc>
          <w:tcPr>
            <w:tcW w:type="dxa" w:w="4320"/>
          </w:tcPr>
          <w:p>
            <w:r>
              <w:t>CFO / Executive Leadership</w:t>
            </w:r>
          </w:p>
        </w:tc>
        <w:tc>
          <w:tcPr>
            <w:tcW w:type="dxa" w:w="4320"/>
          </w:tcPr>
          <w:p>
            <w:r>
              <w:t>Approve the $45,000 investment given an estimated 0.0 months payback and 9,117,452% Year-1 ROI, combining real loss-prevention value with a genuinely distinct operational-efficiency value stream (manual-review cost avoided on the 13,805 accounts correctly routed to low-cost automated outreach); deployment status is currently RECOMMENDED on this run -- financial figures below are reported honestly regardless, per the platform's zero-fabrication standard, and should inform a go/no-go decision alongside the KPI result, not in place of it.</w:t>
            </w:r>
          </w:p>
        </w:tc>
      </w:tr>
    </w:tbl>
    <w:p>
      <w:pPr>
        <w:pStyle w:val="Heading1"/>
      </w:pPr>
      <w:r>
        <w:t>9.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ead_per_account_usd</w:t>
            </w:r>
          </w:p>
        </w:tc>
        <w:tc>
          <w:tcPr>
            <w:tcW w:type="dxa" w:w="2880"/>
          </w:tcPr>
          <w:p>
            <w:r>
              <w:t>5000.0</w:t>
            </w:r>
          </w:p>
        </w:tc>
        <w:tc>
          <w:tcPr>
            <w:tcW w:type="dxa" w:w="2880"/>
          </w:tcPr>
          <w:p>
            <w:r>
              <w:t>Notebook 08 (inherited, real value read programmatically)</w:t>
            </w:r>
          </w:p>
        </w:tc>
      </w:tr>
      <w:tr>
        <w:tc>
          <w:tcPr>
            <w:tcW w:type="dxa" w:w="2880"/>
          </w:tcPr>
          <w:p>
            <w:r>
              <w:t>lgd_assumption</w:t>
            </w:r>
          </w:p>
        </w:tc>
        <w:tc>
          <w:tcPr>
            <w:tcW w:type="dxa" w:w="2880"/>
          </w:tcPr>
          <w:p>
            <w:r>
              <w:t>0.45</w:t>
            </w:r>
          </w:p>
        </w:tc>
        <w:tc>
          <w:tcPr>
            <w:tcW w:type="dxa" w:w="2880"/>
          </w:tcPr>
          <w:p>
            <w:r>
              <w:t>Notebook 08 (inherited, real value read programmatically)</w:t>
            </w:r>
          </w:p>
        </w:tc>
      </w:tr>
      <w:tr>
        <w:tc>
          <w:tcPr>
            <w:tcW w:type="dxa" w:w="2880"/>
          </w:tcPr>
          <w:p>
            <w:r>
              <w:t>collections_intervention_success_rate</w:t>
            </w:r>
          </w:p>
        </w:tc>
        <w:tc>
          <w:tcPr>
            <w:tcW w:type="dxa" w:w="2880"/>
          </w:tcPr>
          <w:p>
            <w:r>
              <w:t>0.25</w:t>
            </w:r>
          </w:p>
        </w:tc>
        <w:tc>
          <w:tcPr>
            <w:tcW w:type="dxa" w:w="2880"/>
          </w:tcPr>
          <w:p>
            <w:r>
              <w:t>ASSUMPTION -- illustrative probability that a genuinely non-self-curing account (a real TRUE NEGATIVE: model correctly predicted NOT cure, and the account did not cure) is nudged into curing by a live-agent Priority Outreach contact; set higher than Problem 8's 18% (a same-cycle review triggered by an already-realized escalation event), Problem 6's 20% (a trained score, contacted generically), and Problem 7's 15% (a statistical deviation count) because this is the platform's only technique that actively TARGETS a live-agent outreach at a specifically identified, high-severity, low-self-cure-propensity account, rather than a passive flag or a generic contact -- edit to your institution's own outcome data.</w:t>
            </w:r>
          </w:p>
        </w:tc>
      </w:tr>
      <w:tr>
        <w:tc>
          <w:tcPr>
            <w:tcW w:type="dxa" w:w="2880"/>
          </w:tcPr>
          <w:p>
            <w:r>
              <w:t>unnecessary_outreach_cost_usd</w:t>
            </w:r>
          </w:p>
        </w:tc>
        <w:tc>
          <w:tcPr>
            <w:tcW w:type="dxa" w:w="2880"/>
          </w:tcPr>
          <w:p>
            <w:r>
              <w:t>25.0</w:t>
            </w:r>
          </w:p>
        </w:tc>
        <w:tc>
          <w:tcPr>
            <w:tcW w:type="dxa" w:w="2880"/>
          </w:tcPr>
          <w:p>
            <w:r>
              <w:t>ASSUMPTION -- illustrative live-agent outreach cost (call or letter) spent on a customer this technique flagged for Priority Outreach who a real FALSE NEGATIVE later shows would have cured on their own that cycle; set above Problem 8's $20 (a quick triage review of transition history) because a full outreach contact costs more staff time than a review, and below Problem 6's $35 (a full account re-underwrite); edit to your institution's actual cost.</w:t>
            </w:r>
          </w:p>
        </w:tc>
      </w:tr>
      <w:tr>
        <w:tc>
          <w:tcPr>
            <w:tcW w:type="dxa" w:w="2880"/>
          </w:tcPr>
          <w:p>
            <w:r>
              <w:t>automated_nudge_review_cost_avoided_usd</w:t>
            </w:r>
          </w:p>
        </w:tc>
        <w:tc>
          <w:tcPr>
            <w:tcW w:type="dxa" w:w="2880"/>
          </w:tcPr>
          <w:p>
            <w:r>
              <w:t>12.0</w:t>
            </w:r>
          </w:p>
        </w:tc>
        <w:tc>
          <w:tcPr>
            <w:tcW w:type="dxa" w:w="2880"/>
          </w:tcPr>
          <w:p>
            <w:r>
              <w:t>ASSUMPTION -- illustrative manual-queue review cost avoided per real TRUE POSITIVE (model correctly predicted TO cure, and the account did cure) that is instead routed to a low-cost automated SMS/email nudge -- genuinely distinct from every other Phase 3/4 technique's financial model, since Problem 9's core value proposition is resource ALLOCATION efficiency, not only loss prevention; edit to your institution's actual manual-review cost.</w:t>
            </w:r>
          </w:p>
        </w:tc>
      </w:tr>
      <w:tr>
        <w:tc>
          <w:tcPr>
            <w:tcW w:type="dxa" w:w="2880"/>
          </w:tcPr>
          <w:p>
            <w:r>
              <w:t>implementation_cost_usd</w:t>
            </w:r>
          </w:p>
        </w:tc>
        <w:tc>
          <w:tcPr>
            <w:tcW w:type="dxa" w:w="2880"/>
          </w:tcPr>
          <w:p>
            <w:r>
              <w:t>45000.0</w:t>
            </w:r>
          </w:p>
        </w:tc>
        <w:tc>
          <w:tcPr>
            <w:tcW w:type="dxa" w:w="2880"/>
          </w:tcPr>
          <w:p>
            <w:r>
              <w:t>ASSUMPTION -- illustrative one-time build/validate/deploy cost for the real-time collections-optimization scoring service and its treatment-tier routing logic; set above Problem 8's $40,000 (a stateless scoring service alone) because this technique additionally operationalizes a 3-tier routing/queueing layer on top of the score, and below Problem 6's $60,000 (a full model training/retraining pipeline); edit to your institution's actual project cost.</w:t>
            </w:r>
          </w:p>
        </w:tc>
      </w:tr>
      <w:tr>
        <w:tc>
          <w:tcPr>
            <w:tcW w:type="dxa" w:w="2880"/>
          </w:tcPr>
          <w:p>
            <w:r>
              <w:t>annual_application_cycles</w:t>
            </w:r>
          </w:p>
        </w:tc>
        <w:tc>
          <w:tcPr>
            <w:tcW w:type="dxa" w:w="2880"/>
          </w:tcPr>
          <w:p>
            <w:r>
              <w:t>12.0</w:t>
            </w:r>
          </w:p>
        </w:tc>
        <w:tc>
          <w:tcPr>
            <w:tcW w:type="dxa" w:w="2880"/>
          </w:tcPr>
          <w:p>
            <w:r>
              <w:t>ASSUMPTION -- monthly re-scoring cadence, matching this platform's other statement-driven, ongoing existing-book monitoring cadences; edit to your institution's actual cadence.</w:t>
            </w:r>
          </w:p>
        </w:tc>
      </w:tr>
    </w:tbl>
    <w:p>
      <w:pPr>
        <w:pStyle w:val="Heading1"/>
      </w:pPr>
      <w:r>
        <w:t>10. Final Recommendation, Deployment Status &amp; Problem 9 Close-Out</w:t>
      </w:r>
    </w:p>
    <w:p>
      <w:r>
        <w:t>Overall deployment status: RECOMMENDED FOR PRODUCTION. This technique clears its KPI target, both integrity checks (from-scratch reproduction and persisted-artifact verification), and the API self-test bar -- deploy per Notebook 52's deployment artifact.</w:t>
      </w:r>
    </w:p>
    <w:p>
      <w:r>
        <w:t>This notebook completes Notebook 53 and, with it, Problem 9 (Collections Optimization) -- Notebooks 50-53. Phase 4 (Operational Risk Management) continues with Problem 10 (Credit Line Management, Notebooks 54-57) and Problem 11 (Real-Time Portfolio Monitoring, Notebooks 58-61).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generated by python-docx</dc:description>
  <cp:lastModifiedBy>Nandagopal R</cp:lastModifiedBy>
  <cp:revision>1</cp:revision>
  <dcterms:created xsi:type="dcterms:W3CDTF">2013-12-23T23:15:00Z</dcterms:created>
  <dcterms:modified xsi:type="dcterms:W3CDTF">2013-12-23T23:15:00Z</dcterms:modified>
  <cp:category/>
</cp:coreProperties>
</file>