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2, Problem 4: Delinquency Escalation / Loss Severity -- Financial Impact Report</w:t>
      </w:r>
    </w:p>
    <w:p>
      <w:pPr/>
      <w:r>
        <w:t>Project Portfolio Prepared By Nandagopal R</w:t>
      </w:r>
    </w:p>
    <w:p>
      <w:r>
        <w:t>Generated: 2026-08-24 16:51</w:t>
      </w:r>
    </w:p>
    <w:p>
      <w:pPr>
        <w:pStyle w:val="Heading1"/>
      </w:pPr>
      <w:r>
        <w:t>1. Executive Summary</w:t>
      </w:r>
    </w:p>
    <w:p>
      <w:r>
        <w:t>Tier-differentiated LGD, computed from a real Escalation Severity Score, was validated against real observed default rates (Notebooks 26-28) and applied to 91,783 real holdout customers (23,766 real defaulters). Compared to Notebook 08's flat 45% LGD, this changes recognized loss by $19,435,432 -- the flat 45% LGD was UNDER-recognizing loss on this real portfolio -- tiering surfaces regulatory/under-provisioning risk the flat model was hiding. Early intervention on the Severe tier (an ASSUMPTION 15% success rate) is estimated to prevent $9,690,840 of loss per scoring cycle, for an estimated 0.0-month payback on a $60,000 implementation investment.</w:t>
      </w:r>
    </w:p>
    <w:p>
      <w:r>
        <w:rPr>
          <w:b/>
        </w:rPr>
        <w:t>Business Impact — Modeled Estimate, Not Audited Value</w:t>
      </w:r>
    </w:p>
    <w:p>
      <w:r>
        <w:rPr>
          <w:b w:val="0"/>
        </w:rPr>
        <w:t>The $19,435,432 change in recognized loss and the $9,690,840 estimated loss prevented per scoring cycle are self-computed under this report's own tiering and 15% ASSUMPTION-based intervention-success rate — they have not been audited by a third party or realized inside a live institution.</w:t>
      </w:r>
    </w:p>
    <w:p>
      <w:r>
        <w:rPr>
          <w:b/>
        </w:rPr>
        <w:t>Independent Audit Status</w:t>
      </w:r>
    </w:p>
    <w:p>
      <w:r>
        <w:rPr>
          <w:b w:val="0"/>
        </w:rPr>
        <w:t>This project was developed as an independent portfolio body of work and has not undergone formal validation, audit, or sign-off by a financial institution's model risk management (SR 11-7 or equivalent) function, a third-party auditor, or a regulator. All model outputs, risk metrics, and business-impact figures in this report are self-computed under the assumptions stated herein and have not been realized in a live production environment at a financial institution.</w:t>
      </w:r>
    </w:p>
    <w:p>
      <w:pPr>
        <w:pStyle w:val="Heading1"/>
      </w:pPr>
      <w:r>
        <w:t>2. Loss Recognition: Flat vs Tier-Differentiated LGD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Population</w:t>
            </w:r>
          </w:p>
        </w:tc>
        <w:tc>
          <w:tcPr>
            <w:tcW w:type="dxa" w:w="1234"/>
          </w:tcPr>
          <w:p>
            <w:r>
              <w:t>Defaulters</w:t>
            </w:r>
          </w:p>
        </w:tc>
        <w:tc>
          <w:tcPr>
            <w:tcW w:type="dxa" w:w="1234"/>
          </w:tcPr>
          <w:p>
            <w:r>
              <w:t>Observed Default Rate</w:t>
            </w:r>
          </w:p>
        </w:tc>
        <w:tc>
          <w:tcPr>
            <w:tcW w:type="dxa" w:w="1234"/>
          </w:tcPr>
          <w:p>
            <w:r>
              <w:t>Lgd Assigned</w:t>
            </w:r>
          </w:p>
        </w:tc>
        <w:tc>
          <w:tcPr>
            <w:tcW w:type="dxa" w:w="1234"/>
          </w:tcPr>
          <w:p>
            <w:r>
              <w:t>Loss Flat Lgd Usd</w:t>
            </w:r>
          </w:p>
        </w:tc>
        <w:tc>
          <w:tcPr>
            <w:tcW w:type="dxa" w:w="1234"/>
          </w:tcPr>
          <w:p>
            <w:r>
              <w:t>Loss Tier Lgd Usd</w:t>
            </w:r>
          </w:p>
        </w:tc>
      </w:tr>
      <w:tr>
        <w:tc>
          <w:tcPr>
            <w:tcW w:type="dxa" w:w="1234"/>
          </w:tcPr>
          <w:p>
            <w:r>
              <w:t>Low Severity</w:t>
            </w:r>
          </w:p>
        </w:tc>
        <w:tc>
          <w:tcPr>
            <w:tcW w:type="dxa" w:w="1234"/>
          </w:tcPr>
          <w:p>
            <w:r>
              <w:t>30328</w:t>
            </w:r>
          </w:p>
        </w:tc>
        <w:tc>
          <w:tcPr>
            <w:tcW w:type="dxa" w:w="1234"/>
          </w:tcPr>
          <w:p>
            <w:r>
              <w:t>407</w:t>
            </w:r>
          </w:p>
        </w:tc>
        <w:tc>
          <w:tcPr>
            <w:tcW w:type="dxa" w:w="1234"/>
          </w:tcPr>
          <w:p>
            <w:r>
              <w:t>0.01342</w:t>
            </w:r>
          </w:p>
        </w:tc>
        <w:tc>
          <w:tcPr>
            <w:tcW w:type="dxa" w:w="1234"/>
          </w:tcPr>
          <w:p>
            <w:r>
              <w:t>0.3015</w:t>
            </w:r>
          </w:p>
        </w:tc>
        <w:tc>
          <w:tcPr>
            <w:tcW w:type="dxa" w:w="1234"/>
          </w:tcPr>
          <w:p>
            <w:r>
              <w:t>915750.0</w:t>
            </w:r>
          </w:p>
        </w:tc>
        <w:tc>
          <w:tcPr>
            <w:tcW w:type="dxa" w:w="1234"/>
          </w:tcPr>
          <w:p>
            <w:r>
              <w:t>613552.5</w:t>
            </w:r>
          </w:p>
        </w:tc>
      </w:tr>
      <w:tr>
        <w:tc>
          <w:tcPr>
            <w:tcW w:type="dxa" w:w="1234"/>
          </w:tcPr>
          <w:p>
            <w:r>
              <w:t>Moderate Severity</w:t>
            </w:r>
          </w:p>
        </w:tc>
        <w:tc>
          <w:tcPr>
            <w:tcW w:type="dxa" w:w="1234"/>
          </w:tcPr>
          <w:p>
            <w:r>
              <w:t>30924</w:t>
            </w:r>
          </w:p>
        </w:tc>
        <w:tc>
          <w:tcPr>
            <w:tcW w:type="dxa" w:w="1234"/>
          </w:tcPr>
          <w:p>
            <w:r>
              <w:t>3422</w:t>
            </w:r>
          </w:p>
        </w:tc>
        <w:tc>
          <w:tcPr>
            <w:tcW w:type="dxa" w:w="1234"/>
          </w:tcPr>
          <w:p>
            <w:r>
              <w:t>0.110658</w:t>
            </w:r>
          </w:p>
        </w:tc>
        <w:tc>
          <w:tcPr>
            <w:tcW w:type="dxa" w:w="1234"/>
          </w:tcPr>
          <w:p>
            <w:r>
              <w:t>0.45</w:t>
            </w:r>
          </w:p>
        </w:tc>
        <w:tc>
          <w:tcPr>
            <w:tcW w:type="dxa" w:w="1234"/>
          </w:tcPr>
          <w:p>
            <w:r>
              <w:t>7699500.0</w:t>
            </w:r>
          </w:p>
        </w:tc>
        <w:tc>
          <w:tcPr>
            <w:tcW w:type="dxa" w:w="1234"/>
          </w:tcPr>
          <w:p>
            <w:r>
              <w:t>7699500.0</w:t>
            </w:r>
          </w:p>
        </w:tc>
      </w:tr>
      <w:tr>
        <w:tc>
          <w:tcPr>
            <w:tcW w:type="dxa" w:w="1234"/>
          </w:tcPr>
          <w:p>
            <w:r>
              <w:t>Severe</w:t>
            </w:r>
          </w:p>
        </w:tc>
        <w:tc>
          <w:tcPr>
            <w:tcW w:type="dxa" w:w="1234"/>
          </w:tcPr>
          <w:p>
            <w:r>
              <w:t>30531</w:t>
            </w:r>
          </w:p>
        </w:tc>
        <w:tc>
          <w:tcPr>
            <w:tcW w:type="dxa" w:w="1234"/>
          </w:tcPr>
          <w:p>
            <w:r>
              <w:t>19937</w:t>
            </w:r>
          </w:p>
        </w:tc>
        <w:tc>
          <w:tcPr>
            <w:tcW w:type="dxa" w:w="1234"/>
          </w:tcPr>
          <w:p>
            <w:r>
              <w:t>0.653008</w:t>
            </w:r>
          </w:p>
        </w:tc>
        <w:tc>
          <w:tcPr>
            <w:tcW w:type="dxa" w:w="1234"/>
          </w:tcPr>
          <w:p>
            <w:r>
              <w:t>0.648</w:t>
            </w:r>
          </w:p>
        </w:tc>
        <w:tc>
          <w:tcPr>
            <w:tcW w:type="dxa" w:w="1234"/>
          </w:tcPr>
          <w:p>
            <w:r>
              <w:t>44858250.0</w:t>
            </w:r>
          </w:p>
        </w:tc>
        <w:tc>
          <w:tcPr>
            <w:tcW w:type="dxa" w:w="1234"/>
          </w:tcPr>
          <w:p>
            <w:r>
              <w:t>64595880.0</w:t>
            </w:r>
          </w:p>
        </w:tc>
      </w:tr>
    </w:tbl>
    <w:p>
      <w:r>
        <w:t>Total flat-LGD loss: $53,473,500  |  Total tier-LGD loss: $72,908,932  |  Difference: $19,435,432</w:t>
      </w:r>
    </w:p>
    <w:p>
      <w:pPr>
        <w:pStyle w:val="Heading1"/>
      </w:pPr>
      <w:r>
        <w:t>3. Loss-Prevention Opportunity (Severe Tier)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Severe Tier Defaulters</w:t>
            </w:r>
          </w:p>
        </w:tc>
        <w:tc>
          <w:tcPr>
            <w:tcW w:type="dxa" w:w="4320"/>
          </w:tcPr>
          <w:p>
            <w:r>
              <w:t>19937</w:t>
            </w:r>
          </w:p>
        </w:tc>
      </w:tr>
      <w:tr>
        <w:tc>
          <w:tcPr>
            <w:tcW w:type="dxa" w:w="4320"/>
          </w:tcPr>
          <w:p>
            <w:r>
              <w:t>Intervention Success Rate Assumption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Preventable Defaults</w:t>
            </w:r>
          </w:p>
        </w:tc>
        <w:tc>
          <w:tcPr>
            <w:tcW w:type="dxa" w:w="4320"/>
          </w:tcPr>
          <w:p>
            <w:r>
              <w:t>2991</w:t>
            </w:r>
          </w:p>
        </w:tc>
      </w:tr>
      <w:tr>
        <w:tc>
          <w:tcPr>
            <w:tcW w:type="dxa" w:w="4320"/>
          </w:tcPr>
          <w:p>
            <w:r>
              <w:t>Loss Prevented Per Cycle Usd</w:t>
            </w:r>
          </w:p>
        </w:tc>
        <w:tc>
          <w:tcPr>
            <w:tcW w:type="dxa" w:w="4320"/>
          </w:tcPr>
          <w:p>
            <w:r>
              <w:t>$9,690,840</w:t>
            </w:r>
          </w:p>
        </w:tc>
      </w:tr>
    </w:tbl>
    <w:p>
      <w:pPr>
        <w:pStyle w:val="Heading1"/>
      </w:pPr>
      <w:r>
        <w:t>4. ROI, Investment &amp; Payback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Amount Invested Usd</w:t>
            </w:r>
          </w:p>
        </w:tc>
        <w:tc>
          <w:tcPr>
            <w:tcW w:type="dxa" w:w="4320"/>
          </w:tcPr>
          <w:p>
            <w:r>
              <w:t>$60,000</w:t>
            </w:r>
          </w:p>
        </w:tc>
      </w:tr>
      <w:tr>
        <w:tc>
          <w:tcPr>
            <w:tcW w:type="dxa" w:w="4320"/>
          </w:tcPr>
          <w:p>
            <w:r>
              <w:t>Annual Benefit Usd</w:t>
            </w:r>
          </w:p>
        </w:tc>
        <w:tc>
          <w:tcPr>
            <w:tcW w:type="dxa" w:w="4320"/>
          </w:tcPr>
          <w:p>
            <w:r>
              <w:t>$38,763,360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64,506%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>
      <w:pPr>
        <w:pStyle w:val="Heading1"/>
      </w:pPr>
      <w:r>
        <w:t>5.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Collections Agents (Frontline)</w:t>
            </w:r>
          </w:p>
        </w:tc>
        <w:tc>
          <w:tcPr>
            <w:tcW w:type="dxa" w:w="4320"/>
          </w:tcPr>
          <w:p>
            <w:r>
              <w:t>Prioritize outbound contact on the 19,937 real Severe-tier accounts first each day -- their observed default rate (65.3%) is the highest of any tier. Target: attempt contact within 24 hours of a Severe-tier flag.</w:t>
            </w:r>
          </w:p>
        </w:tc>
      </w:tr>
      <w:tr>
        <w:tc>
          <w:tcPr>
            <w:tcW w:type="dxa" w:w="4320"/>
          </w:tcPr>
          <w:p>
            <w:r>
              <w:t>Collections Team Lead / Manager</w:t>
            </w:r>
          </w:p>
        </w:tc>
        <w:tc>
          <w:tcPr>
            <w:tcW w:type="dxa" w:w="4320"/>
          </w:tcPr>
          <w:p>
            <w:r>
              <w:t>Track the 2,991-account early-intervention goal (from the 15% ASSUMPTION success rate) as a weekly team KPI; report actual prevented-default count vs. this target each month to calibrate the assumption.</w:t>
            </w:r>
          </w:p>
        </w:tc>
      </w:tr>
      <w:tr>
        <w:tc>
          <w:tcPr>
            <w:tcW w:type="dxa" w:w="4320"/>
          </w:tcPr>
          <w:p>
            <w:r>
              <w:t>Risk / Credit Analyst</w:t>
            </w:r>
          </w:p>
        </w:tc>
        <w:tc>
          <w:tcPr>
            <w:tcW w:type="dxa" w:w="4320"/>
          </w:tcPr>
          <w:p>
            <w:r>
              <w:t>Re-run Notebook 27's severity scoring each time Notebook 04's engineered features refresh; monitor the split-half PSI (last measured 0.0000, 'stable') and re-tier if it exceeds 0.10 for two consecutive cycles.</w:t>
            </w:r>
          </w:p>
        </w:tc>
      </w:tr>
      <w:tr>
        <w:tc>
          <w:tcPr>
            <w:tcW w:type="dxa" w:w="4320"/>
          </w:tcPr>
          <w:p>
            <w:r>
              <w:t>Model Risk / Compliance (SR 11-7)</w:t>
            </w:r>
          </w:p>
        </w:tc>
        <w:tc>
          <w:tcPr>
            <w:tcW w:type="dxa" w:w="4320"/>
          </w:tcPr>
          <w:p>
            <w:r>
              <w:t>File this notebook's chi-square (p=0.0e+00) and z-test (p=0.0e+00) results with the model's annual validation packet; re-certify before any change to the frozen severity_scoring_bundle.json.</w:t>
            </w:r>
          </w:p>
        </w:tc>
      </w:tr>
      <w:tr>
        <w:tc>
          <w:tcPr>
            <w:tcW w:type="dxa" w:w="4320"/>
          </w:tcPr>
          <w:p>
            <w:r>
              <w:t>Finance / Provisioning Team</w:t>
            </w:r>
          </w:p>
        </w:tc>
        <w:tc>
          <w:tcPr>
            <w:tcW w:type="dxa" w:w="4320"/>
          </w:tcPr>
          <w:p>
            <w:r>
              <w:t>Update the quarterly loss-provisioning workbook to use tier-differentiated LGD instead of the flat 45% -- a $19,435,432 recognition difference was measured on this holdout; reconcile within the next provisioning cycle.</w:t>
            </w:r>
          </w:p>
        </w:tc>
      </w:tr>
      <w:tr>
        <w:tc>
          <w:tcPr>
            <w:tcW w:type="dxa" w:w="4320"/>
          </w:tcPr>
          <w:p>
            <w:r>
              <w:t>CFO / Executive Leadership</w:t>
            </w:r>
          </w:p>
        </w:tc>
        <w:tc>
          <w:tcPr>
            <w:tcW w:type="dxa" w:w="4320"/>
          </w:tcPr>
          <w:p>
            <w:r>
              <w:t>Approve the $60,000 investment given an estimated 0.0-month payback and 64,506% Year-1 ROI from Severe-tier loss prevention alone; revisit the 4x/year cadence ASSUMPTION at the next quarterly business review.</w:t>
            </w:r>
          </w:p>
        </w:tc>
      </w:tr>
    </w:tbl>
    <w:p>
      <w:pPr>
        <w:pStyle w:val="Heading1"/>
      </w:pPr>
      <w:r>
        <w:t>6.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ead_per_account_usd</w:t>
            </w:r>
          </w:p>
        </w:tc>
        <w:tc>
          <w:tcPr>
            <w:tcW w:type="dxa" w:w="2880"/>
          </w:tcPr>
          <w:p>
            <w:r>
              <w:t>5000.0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baseline_flat_lgd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Notebook 08 (inherited, real value read programmatically)</w:t>
            </w:r>
          </w:p>
        </w:tc>
      </w:tr>
      <w:tr>
        <w:tc>
          <w:tcPr>
            <w:tcW w:type="dxa" w:w="2880"/>
          </w:tcPr>
          <w:p>
            <w:r>
              <w:t>severe_tier_intervention_success_rate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ASSUMPTION -- illustrative conservative early-intervention efficacy figure for the highest-severity tier; edit to your institution's own collections-outcome data.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60000.0</w:t>
            </w:r>
          </w:p>
        </w:tc>
        <w:tc>
          <w:tcPr>
            <w:tcW w:type="dxa" w:w="2880"/>
          </w:tcPr>
          <w:p>
            <w:r>
              <w:t>ASSUMPTION -- illustrative one-time build/validate/deploy cost (data science + risk review time); edit to your institution's actual project cost.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ASSUMPTION -- how many times per year this scoring pipeline is re-run against a holdout-sized population (illustrative quarterly cadence); edit to your institution's actual monitoring frequency.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