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3, Problem 6: Dynamic / Behavioral Credit Scoring -- Financial Impact Report</w:t>
      </w:r>
    </w:p>
    <w:p>
      <w:pPr/>
      <w:r>
        <w:t>Project Portfolio Prepared By Nandagopal R</w:t>
      </w:r>
    </w:p>
    <w:p>
      <w:r>
        <w:t>Generated: 2026-08-25 12:12</w:t>
      </w:r>
    </w:p>
    <w:p>
      <w:pPr>
        <w:pStyle w:val="Heading1"/>
      </w:pPr>
      <w:r>
        <w:t>1. Executive Summary</w:t>
      </w:r>
    </w:p>
    <w:p>
      <w:r>
        <w:t>The trailing-window recency model (W=3, xgboost) validated in Notebooks 38-40 re-scores an EXISTING book using only a customer's most recent 3 statements, retaining 99.2% of the full-history model's real AUC. This model is currently RECOMMENDED for production. At the F1-optimal operating threshold on the real 89,569-customer holdout, this model correctly flags 19,337 of 23,062 real defaulters (83.8% capture) -- an exact, measured count, not an estimate -- alongside 5,988 false positives. At an ASSUMPTION 20% intervention success rate, net of an ASSUMPTION $35 per-false-positive review cost, this is estimated to net $8,491,170 of benefit per monthly scoring cycle, for an estimated 0.0 months payback on a $60,000 implementation investment.</w:t>
      </w:r>
    </w:p>
    <w:p>
      <w:r>
        <w:rPr>
          <w:b/>
        </w:rPr>
        <w:t>Business Impact — Modeled Estimate, Not Audited Value</w:t>
      </w:r>
    </w:p>
    <w:p>
      <w:r>
        <w:rPr>
          <w:b w:val="0"/>
        </w:rPr>
        <w:t>The $8,491,170 estimated net benefit per monthly scoring cycle is a self-computed business-impact model built under this report's own stated ASSUMPTION (20% intervention success rate, $35 per-false-positive review cost) — it has not been audited by a third party or realized inside a live institution. The 83.8% real capture rate is a measured holdout result; the dollar figure derived from it is not.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2. Real Recency-Detection Value: Population Flagged</w:t>
      </w:r>
    </w:p>
    <w:p>
      <w:r>
        <w:t>Every count in this section comes directly from Notebook 40's reproduced confusion matrix on the real holdout population -- exact, not derived or estimated.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Winning Trailing Window W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F1 Optimal Threshold</w:t>
            </w:r>
          </w:p>
        </w:tc>
        <w:tc>
          <w:tcPr>
            <w:tcW w:type="dxa" w:w="4320"/>
          </w:tcPr>
          <w:p>
            <w:r>
              <w:t>0.4109</w:t>
            </w:r>
          </w:p>
        </w:tc>
      </w:tr>
      <w:tr>
        <w:tc>
          <w:tcPr>
            <w:tcW w:type="dxa" w:w="4320"/>
          </w:tcPr>
          <w:p>
            <w:r>
              <w:t>Real Holdout Population</w:t>
            </w:r>
          </w:p>
        </w:tc>
        <w:tc>
          <w:tcPr>
            <w:tcW w:type="dxa" w:w="4320"/>
          </w:tcPr>
          <w:p>
            <w:r>
              <w:t>89,569</w:t>
            </w:r>
          </w:p>
        </w:tc>
      </w:tr>
      <w:tr>
        <w:tc>
          <w:tcPr>
            <w:tcW w:type="dxa" w:w="4320"/>
          </w:tcPr>
          <w:p>
            <w:r>
              <w:t>Real Holdout Defaulters</w:t>
            </w:r>
          </w:p>
        </w:tc>
        <w:tc>
          <w:tcPr>
            <w:tcW w:type="dxa" w:w="4320"/>
          </w:tcPr>
          <w:p>
            <w:r>
              <w:t>23,062</w:t>
            </w:r>
          </w:p>
        </w:tc>
      </w:tr>
      <w:tr>
        <w:tc>
          <w:tcPr>
            <w:tcW w:type="dxa" w:w="4320"/>
          </w:tcPr>
          <w:p>
            <w:r>
              <w:t>True Positives Flagged</w:t>
            </w:r>
          </w:p>
        </w:tc>
        <w:tc>
          <w:tcPr>
            <w:tcW w:type="dxa" w:w="4320"/>
          </w:tcPr>
          <w:p>
            <w:r>
              <w:t>19,337</w:t>
            </w:r>
          </w:p>
        </w:tc>
      </w:tr>
      <w:tr>
        <w:tc>
          <w:tcPr>
            <w:tcW w:type="dxa" w:w="4320"/>
          </w:tcPr>
          <w:p>
            <w:r>
              <w:t>False Positives Flagged</w:t>
            </w:r>
          </w:p>
        </w:tc>
        <w:tc>
          <w:tcPr>
            <w:tcW w:type="dxa" w:w="4320"/>
          </w:tcPr>
          <w:p>
            <w:r>
              <w:t>5,988</w:t>
            </w:r>
          </w:p>
        </w:tc>
      </w:tr>
      <w:tr>
        <w:tc>
          <w:tcPr>
            <w:tcW w:type="dxa" w:w="4320"/>
          </w:tcPr>
          <w:p>
            <w:r>
              <w:t>Real Defaulter Capture Rate</w:t>
            </w:r>
          </w:p>
        </w:tc>
        <w:tc>
          <w:tcPr>
            <w:tcW w:type="dxa" w:w="4320"/>
          </w:tcPr>
          <w:p>
            <w:r>
              <w:t>83.8%</w:t>
            </w:r>
          </w:p>
        </w:tc>
      </w:tr>
    </w:tbl>
    <w:p>
      <w:pPr>
        <w:pStyle w:val="Heading1"/>
      </w:pPr>
      <w:r>
        <w:t>3. Loss-Prevention Opportunity, Net of False-Positive Review Cost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True Positives Flagged</w:t>
            </w:r>
          </w:p>
        </w:tc>
        <w:tc>
          <w:tcPr>
            <w:tcW w:type="dxa" w:w="4320"/>
          </w:tcPr>
          <w:p>
            <w:r>
              <w:t>19337</w:t>
            </w:r>
          </w:p>
        </w:tc>
      </w:tr>
      <w:tr>
        <w:tc>
          <w:tcPr>
            <w:tcW w:type="dxa" w:w="4320"/>
          </w:tcPr>
          <w:p>
            <w:r>
              <w:t>Intervention Success Rate Assumption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Preventable Defaults</w:t>
            </w:r>
          </w:p>
        </w:tc>
        <w:tc>
          <w:tcPr>
            <w:tcW w:type="dxa" w:w="4320"/>
          </w:tcPr>
          <w:p>
            <w:r>
              <w:t>3867</w:t>
            </w:r>
          </w:p>
        </w:tc>
      </w:tr>
      <w:tr>
        <w:tc>
          <w:tcPr>
            <w:tcW w:type="dxa" w:w="4320"/>
          </w:tcPr>
          <w:p>
            <w:r>
              <w:t>Gross Loss Prevented Per Cycle Usd</w:t>
            </w:r>
          </w:p>
        </w:tc>
        <w:tc>
          <w:tcPr>
            <w:tcW w:type="dxa" w:w="4320"/>
          </w:tcPr>
          <w:p>
            <w:r>
              <w:t>$8,700,750</w:t>
            </w:r>
          </w:p>
        </w:tc>
      </w:tr>
      <w:tr>
        <w:tc>
          <w:tcPr>
            <w:tcW w:type="dxa" w:w="4320"/>
          </w:tcPr>
          <w:p>
            <w:r>
              <w:t>False Positives Flagged</w:t>
            </w:r>
          </w:p>
        </w:tc>
        <w:tc>
          <w:tcPr>
            <w:tcW w:type="dxa" w:w="4320"/>
          </w:tcPr>
          <w:p>
            <w:r>
              <w:t>5988</w:t>
            </w:r>
          </w:p>
        </w:tc>
      </w:tr>
      <w:tr>
        <w:tc>
          <w:tcPr>
            <w:tcW w:type="dxa" w:w="4320"/>
          </w:tcPr>
          <w:p>
            <w:r>
              <w:t>False Positive Review Cost Per Account Assumption</w:t>
            </w:r>
          </w:p>
        </w:tc>
        <w:tc>
          <w:tcPr>
            <w:tcW w:type="dxa" w:w="4320"/>
          </w:tcPr>
          <w:p>
            <w:r>
              <w:t>$35</w:t>
            </w:r>
          </w:p>
        </w:tc>
      </w:tr>
      <w:tr>
        <w:tc>
          <w:tcPr>
            <w:tcW w:type="dxa" w:w="4320"/>
          </w:tcPr>
          <w:p>
            <w:r>
              <w:t>Total False Positive Review Cost Usd</w:t>
            </w:r>
          </w:p>
        </w:tc>
        <w:tc>
          <w:tcPr>
            <w:tcW w:type="dxa" w:w="4320"/>
          </w:tcPr>
          <w:p>
            <w:r>
              <w:t>$209,580</w:t>
            </w:r>
          </w:p>
        </w:tc>
      </w:tr>
      <w:tr>
        <w:tc>
          <w:tcPr>
            <w:tcW w:type="dxa" w:w="4320"/>
          </w:tcPr>
          <w:p>
            <w:r>
              <w:t>Net Benefit Per Cycle Usd</w:t>
            </w:r>
          </w:p>
        </w:tc>
        <w:tc>
          <w:tcPr>
            <w:tcW w:type="dxa" w:w="4320"/>
          </w:tcPr>
          <w:p>
            <w:r>
              <w:t>$8,491,170</w:t>
            </w:r>
          </w:p>
        </w:tc>
      </w:tr>
    </w:tbl>
    <w:p>
      <w:pPr>
        <w:pStyle w:val="Heading1"/>
      </w:pPr>
      <w:r>
        <w:t>4. ROI, Investment &amp; Payback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Amount Invested Usd</w:t>
            </w:r>
          </w:p>
        </w:tc>
        <w:tc>
          <w:tcPr>
            <w:tcW w:type="dxa" w:w="4320"/>
          </w:tcPr>
          <w:p>
            <w:r>
              <w:t>$60,000</w:t>
            </w:r>
          </w:p>
        </w:tc>
      </w:tr>
      <w:tr>
        <w:tc>
          <w:tcPr>
            <w:tcW w:type="dxa" w:w="4320"/>
          </w:tcPr>
          <w:p>
            <w:r>
              <w:t>Annual Net Benefit Usd</w:t>
            </w:r>
          </w:p>
        </w:tc>
        <w:tc>
          <w:tcPr>
            <w:tcW w:type="dxa" w:w="4320"/>
          </w:tcPr>
          <w:p>
            <w:r>
              <w:t>$101,894,040</w:t>
            </w:r>
          </w:p>
        </w:tc>
      </w:tr>
      <w:tr>
        <w:tc>
          <w:tcPr>
            <w:tcW w:type="dxa" w:w="4320"/>
          </w:tcPr>
          <w:p>
            <w:r>
              <w:t>Roi Year 1 Pct</w:t>
            </w:r>
          </w:p>
        </w:tc>
        <w:tc>
          <w:tcPr>
            <w:tcW w:type="dxa" w:w="4320"/>
          </w:tcPr>
          <w:p>
            <w:r>
              <w:t>169,723%</w:t>
            </w:r>
          </w:p>
        </w:tc>
      </w:tr>
      <w:tr>
        <w:tc>
          <w:tcPr>
            <w:tcW w:type="dxa" w:w="4320"/>
          </w:tcPr>
          <w:p>
            <w:r>
              <w:t>Payback Period Months</w:t>
            </w:r>
          </w:p>
        </w:tc>
        <w:tc>
          <w:tcPr>
            <w:tcW w:type="dxa" w:w="4320"/>
          </w:tcPr>
          <w:p>
            <w:r>
              <w:t>0.0 months</w:t>
            </w:r>
          </w:p>
        </w:tc>
      </w:tr>
    </w:tbl>
    <w:p>
      <w:pPr>
        <w:pStyle w:val="Heading1"/>
      </w:pPr>
      <w:r>
        <w:t>5. SMART Suggestions by Organizational 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Org Level</w:t>
            </w:r>
          </w:p>
        </w:tc>
        <w:tc>
          <w:tcPr>
            <w:tcW w:type="dxa" w:w="4320"/>
          </w:tcPr>
          <w:p>
            <w:r>
              <w:t>Suggestion</w:t>
            </w:r>
          </w:p>
        </w:tc>
      </w:tr>
      <w:tr>
        <w:tc>
          <w:tcPr>
            <w:tcW w:type="dxa" w:w="4320"/>
          </w:tcPr>
          <w:p>
            <w:r>
              <w:t>Behavioral Monitoring Ops / Frontline Risk Analysts</w:t>
            </w:r>
          </w:p>
        </w:tc>
        <w:tc>
          <w:tcPr>
            <w:tcW w:type="dxa" w:w="4320"/>
          </w:tcPr>
          <w:p>
            <w:r>
              <w:t>Work the 25,325-account flag list from the W=3 recency model (83.8% real defaulter capture at the F1-optimal threshold) each monthly re-scoring cycle -- this is an EXISTING-book monitoring signal, not a new-account screen, so route flags to account review, not new-application underwriting.</w:t>
            </w:r>
          </w:p>
        </w:tc>
      </w:tr>
      <w:tr>
        <w:tc>
          <w:tcPr>
            <w:tcW w:type="dxa" w:w="4320"/>
          </w:tcPr>
          <w:p>
            <w:r>
              <w:t>Portfolio Risk Team Lead</w:t>
            </w:r>
          </w:p>
        </w:tc>
        <w:tc>
          <w:tcPr>
            <w:tcW w:type="dxa" w:w="4320"/>
          </w:tcPr>
          <w:p>
            <w:r>
              <w:t>Track the 3,867-account behavioral-intervention goal (from the 20% ASSUMPTION success rate) and the 5,988 real false positives (review-cost exposure) as paired weekly KPIs -- both numbers came from the same real confusion matrix, so tightening the threshold trades one against the other.</w:t>
            </w:r>
          </w:p>
        </w:tc>
      </w:tr>
      <w:tr>
        <w:tc>
          <w:tcPr>
            <w:tcW w:type="dxa" w:w="4320"/>
          </w:tcPr>
          <w:p>
            <w:r>
              <w:t>Risk / Credit Analyst</w:t>
            </w:r>
          </w:p>
        </w:tc>
        <w:tc>
          <w:tcPr>
            <w:tcW w:type="dxa" w:w="4320"/>
          </w:tcPr>
          <w:p>
            <w:r>
              <w:t>Re-run this trailing-window scoring monthly as new statement data lands; monitor the split-half score PSI (Notebook 40 measured 0.0003) and the bootstrap AUC CI (last measured [0.9528, 0.9553]) -- re-validate if either drifts materially.</w:t>
            </w:r>
          </w:p>
        </w:tc>
      </w:tr>
      <w:tr>
        <w:tc>
          <w:tcPr>
            <w:tcW w:type="dxa" w:w="4320"/>
          </w:tcPr>
          <w:p>
            <w:r>
              <w:t>Model Risk / Compliance (SR 11-7)</w:t>
            </w:r>
          </w:p>
        </w:tc>
        <w:tc>
          <w:tcPr>
            <w:tcW w:type="dxa" w:w="4320"/>
          </w:tcPr>
          <w:p>
            <w:r>
              <w:t>File Notebook 40's bootstrap AUC/PR-AUC CIs, calibration gap (0.0037), and AUC-retention KPI result (MET) with the model's annual validation packet; this model is currently RECOMMENDED for production use, and is explicitly a RECENCY score complementary to Problem 1's full-history champion, not a replacement for it.</w:t>
            </w:r>
          </w:p>
        </w:tc>
      </w:tr>
      <w:tr>
        <w:tc>
          <w:tcPr>
            <w:tcW w:type="dxa" w:w="4320"/>
          </w:tcPr>
          <w:p>
            <w:r>
              <w:t>Finance / Provisioning Team</w:t>
            </w:r>
          </w:p>
        </w:tc>
        <w:tc>
          <w:tcPr>
            <w:tcW w:type="dxa" w:w="4320"/>
          </w:tcPr>
          <w:p>
            <w:r>
              <w:t>Use the 19,337 recency-flagged real defaulters to trigger early reserve-timing reviews on accounts whose FULL-HISTORY score may not yet reflect their recent deterioration -- coordinate with Problem 3's ECL work and Problem 4's tier-differentiated LGD for the $ reserve amount per flagged account.</w:t>
            </w:r>
          </w:p>
        </w:tc>
      </w:tr>
      <w:tr>
        <w:tc>
          <w:tcPr>
            <w:tcW w:type="dxa" w:w="4320"/>
          </w:tcPr>
          <w:p>
            <w:r>
              <w:t>CFO / Executive Leadership</w:t>
            </w:r>
          </w:p>
        </w:tc>
        <w:tc>
          <w:tcPr>
            <w:tcW w:type="dxa" w:w="4320"/>
          </w:tcPr>
          <w:p>
            <w:r>
              <w:t>Approve the $60,000 investment given an estimated 0.0 months payback and 169,723% Year-1 ROI (net of estimated false-positive review cost) from monthly behavioral re-scoring; revisit the 12x/year cadence ASSUMPTION at the next quarterly business review.</w:t>
            </w:r>
          </w:p>
        </w:tc>
      </w:tr>
    </w:tbl>
    <w:p>
      <w:pPr>
        <w:pStyle w:val="Heading1"/>
      </w:pPr>
      <w:r>
        <w:t>6. Assumptions &amp;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Assumption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ead_per_account_usd</w:t>
            </w:r>
          </w:p>
        </w:tc>
        <w:tc>
          <w:tcPr>
            <w:tcW w:type="dxa" w:w="2880"/>
          </w:tcPr>
          <w:p>
            <w:r>
              <w:t>5000.0</w:t>
            </w:r>
          </w:p>
        </w:tc>
        <w:tc>
          <w:tcPr>
            <w:tcW w:type="dxa" w:w="2880"/>
          </w:tcPr>
          <w:p>
            <w:r>
              <w:t>Notebook 08 (inherited, real value read programmatically)</w:t>
            </w:r>
          </w:p>
        </w:tc>
      </w:tr>
      <w:tr>
        <w:tc>
          <w:tcPr>
            <w:tcW w:type="dxa" w:w="2880"/>
          </w:tcPr>
          <w:p>
            <w:r>
              <w:t>lgd_assumption</w:t>
            </w:r>
          </w:p>
        </w:tc>
        <w:tc>
          <w:tcPr>
            <w:tcW w:type="dxa" w:w="2880"/>
          </w:tcPr>
          <w:p>
            <w:r>
              <w:t>0.45</w:t>
            </w:r>
          </w:p>
        </w:tc>
        <w:tc>
          <w:tcPr>
            <w:tcW w:type="dxa" w:w="2880"/>
          </w:tcPr>
          <w:p>
            <w:r>
              <w:t>Notebook 08 (inherited, real value read programmatically)</w:t>
            </w:r>
          </w:p>
        </w:tc>
      </w:tr>
      <w:tr>
        <w:tc>
          <w:tcPr>
            <w:tcW w:type="dxa" w:w="2880"/>
          </w:tcPr>
          <w:p>
            <w:r>
              <w:t>behavioral_intervention_success_rate</w:t>
            </w:r>
          </w:p>
        </w:tc>
        <w:tc>
          <w:tcPr>
            <w:tcW w:type="dxa" w:w="2880"/>
          </w:tcPr>
          <w:p>
            <w:r>
              <w:t>0.2</w:t>
            </w:r>
          </w:p>
        </w:tc>
        <w:tc>
          <w:tcPr>
            <w:tcW w:type="dxa" w:w="2880"/>
          </w:tcPr>
          <w:p>
            <w:r>
              <w:t>ASSUMPTION -- illustrative efficacy of a recency-triggered intervention (credit-line reduction, proactive outreach, reserve pre-build) on an EXISTING account flagged by recent behavioral deterioration; edit to your institution's own outcome data.</w:t>
            </w:r>
          </w:p>
        </w:tc>
      </w:tr>
      <w:tr>
        <w:tc>
          <w:tcPr>
            <w:tcW w:type="dxa" w:w="2880"/>
          </w:tcPr>
          <w:p>
            <w:r>
              <w:t>false_positive_review_cost_usd</w:t>
            </w:r>
          </w:p>
        </w:tc>
        <w:tc>
          <w:tcPr>
            <w:tcW w:type="dxa" w:w="2880"/>
          </w:tcPr>
          <w:p>
            <w:r>
              <w:t>35.0</w:t>
            </w:r>
          </w:p>
        </w:tc>
        <w:tc>
          <w:tcPr>
            <w:tcW w:type="dxa" w:w="2880"/>
          </w:tcPr>
          <w:p>
            <w:r>
              <w:t>ASSUMPTION -- illustrative staff-time cost of manually reviewing one account the model flags that does NOT go on to default (a false positive at the F1-optimal threshold) -- unlike Problem 5's report, this one nets this cost against the loss-prevention benefit since Notebook 40's real confusion matrix makes the false-positive count directly measurable, not just the true-positive count.</w:t>
            </w:r>
          </w:p>
        </w:tc>
      </w:tr>
      <w:tr>
        <w:tc>
          <w:tcPr>
            <w:tcW w:type="dxa" w:w="2880"/>
          </w:tcPr>
          <w:p>
            <w:r>
              <w:t>implementation_cost_usd</w:t>
            </w:r>
          </w:p>
        </w:tc>
        <w:tc>
          <w:tcPr>
            <w:tcW w:type="dxa" w:w="2880"/>
          </w:tcPr>
          <w:p>
            <w:r>
              <w:t>60000.0</w:t>
            </w:r>
          </w:p>
        </w:tc>
        <w:tc>
          <w:tcPr>
            <w:tcW w:type="dxa" w:w="2880"/>
          </w:tcPr>
          <w:p>
            <w:r>
              <w:t>ASSUMPTION -- illustrative one-time build/validate/deploy cost for the dynamic/behavioral scoring service (data science + risk review time); edit to your institution's actual project cost.</w:t>
            </w:r>
          </w:p>
        </w:tc>
      </w:tr>
      <w:tr>
        <w:tc>
          <w:tcPr>
            <w:tcW w:type="dxa" w:w="2880"/>
          </w:tcPr>
          <w:p>
            <w:r>
              <w:t>annual_application_cycles</w:t>
            </w:r>
          </w:p>
        </w:tc>
        <w:tc>
          <w:tcPr>
            <w:tcW w:type="dxa" w:w="2880"/>
          </w:tcPr>
          <w:p>
            <w:r>
              <w:t>12.0</w:t>
            </w:r>
          </w:p>
        </w:tc>
        <w:tc>
          <w:tcPr>
            <w:tcW w:type="dxa" w:w="2880"/>
          </w:tcPr>
          <w:p>
            <w:r>
              <w:t>ASSUMPTION -- monthly re-scoring cadence, matching Notebook 38's original 'monthly refreshed PD' business framing for this problem (Problem 5's early-window model, by contrast, used a quarterly cadence -- these are different use cases: new-account screening vs. ongoing existing-book monitoring); edit to your institution's actual cadence.</w:t>
            </w:r>
          </w:p>
        </w:tc>
      </w:tr>
    </w:tbl>
    <w:p>
      <w:pPr>
        <w:pStyle w:val="Heading1"/>
      </w:pPr>
      <w:r>
        <w:t>7. Charts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ulation_flagged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Population flagged at the F1-optimal threshold (real, exact counts)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nt_vs_early_comparison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Recent (Problem 6) vs. early (Problem 5) behavioral signal, same window length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