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AMEX Enterprise Credit Risk Platform</w:t>
      </w:r>
    </w:p>
    <w:p>
      <w:r>
        <w:t>Phase 3, Problem 8: Roll-Rate Modeling -- Comprehensive Financial Impact Report</w:t>
      </w:r>
    </w:p>
    <w:p>
      <w:pPr/>
      <w:r>
        <w:t>Project Portfolio Prepared By Nandagopal R</w:t>
      </w:r>
    </w:p>
    <w:p>
      <w:r>
        <w:t>Generated: 2026-08-25 19:12</w:t>
      </w:r>
    </w:p>
    <w:p>
      <w:r>
        <w:t>This report synthesizes real results from EVERY notebook of Problem 8 -- Notebook 46 (Business Understanding &amp; Policy), Notebook 47 (Modeling), Notebook 48 (Validation &amp; Deployment), and this notebook's own financial-impact calculations -- per the platform's elevated reporting standard (effective Problem 7 onward). Every figure is real and measured except values explicitly labeled ASSUMPTION, which are editable business inputs. This notebook also closes out Phase 3 (Behavioral Intelligence).</w:t>
      </w:r>
    </w:p>
    <w:p>
      <w:pPr>
        <w:pStyle w:val="Heading1"/>
      </w:pPr>
      <w:r>
        <w:t>1. Executive Summary</w:t>
      </w:r>
    </w:p>
    <w:p>
      <w:r>
        <w:t>The empirical Markov roll-rate technique validated in Notebooks 46-48 tracks each customer's delinquency severity state (Low Severity, Moderate Severity, Severe) statement-by-statement, from a composite z-score fit on 89 monitored features, and flags a customer ESCALATED whenever their OBSERVED last transition moved to a strictly worse state -- an observed behavioral event, genuinely different from Problem 6's trained recency model and Problem 7's statistical deviation count. This technique is currently RECOMMENDED for production. It correctly flags 933 of 23,461 real defaulters (4.0% capture) among customers with an observed last transition -- an exact, measured count -- alongside 3,109 false positives. The two hard-gate KPIs are: a severe/low default-rate ratio of 107.21x (95% CI [92.78x, 125.17x]), which meets its target, and a transition coherence gap of 0.9557 (95% CI [0.9550, 0.9564]), which meets its target. At an ASSUMPTION 18% intervention success rate, net of an ASSUMPTION $20 per-false-positive review cost, this is estimated to net $315,820 of benefit per monthly-equivalent cycle, for an estimated 0.1 months payback on a $40,000 implementation investment.</w:t>
      </w:r>
    </w:p>
    <w:p>
      <w:r>
        <w:rPr>
          <w:b/>
        </w:rPr>
        <w:t>Business Impact — Modeled Estimate, Not Audited Value</w:t>
      </w:r>
    </w:p>
    <w:p>
      <w:r>
        <w:rPr>
          <w:b w:val="0"/>
        </w:rPr>
        <w:t>The $315,820 estimated net benefit per cycle is a self-computed business-impact model built under this report's own stated ASSUMPTION (18% intervention success rate, $20 per-false-positive review cost) — it has not been audited by a third party or realized inside a live institution.</w:t>
      </w:r>
    </w:p>
    <w:p>
      <w:r>
        <w:rPr>
          <w:b/>
        </w:rPr>
        <w:t>Independent Audit Status</w:t>
      </w:r>
    </w:p>
    <w:p>
      <w:r>
        <w:rPr>
          <w:b w:val="0"/>
        </w:rPr>
        <w:t>This project was developed as an independent portfolio body of work and has not undergone formal validation, audit, or sign-off by a financial institution's model risk management (SR 11-7 or equivalent) function, a third-party auditor, or a regulator. All model outputs, risk metrics, and business-impact figures in this report are self-computed under the assumptions stated herein and have not been realized in a live production environment at a financial institution.</w:t>
      </w:r>
    </w:p>
    <w:p>
      <w:pPr>
        <w:pStyle w:val="Heading1"/>
      </w:pPr>
      <w:r>
        <w:t>2. Business Understanding &amp; Policy (Notebook 46)</w:t>
      </w:r>
    </w:p>
    <w:p>
      <w:r>
        <w:t>Problem 8 tracks each customer's delinquency severity across an ordered set of states, reused from Problem 4's real tier structure, and asks a genuinely different question from Problems 6 and 7: 'did this customer's OBSERVED severity state just get worse?' A per-statement composite severity score (the same abs-correlation-weighted z-score METHOD as Problem 4, refit fresh on the statement-level population) assigns each statement to a state via TRAIN-fit tertile cutpoints; an empirical Markov transition-probability matrix is then built from real observed state-to-state transitions on HOLDOUT.</w:t>
      </w:r>
    </w:p>
    <w:tbl>
      <w:tblPr>
        <w:tblStyle w:val="LightGrid-Accent1"/>
        <w:tblW w:type="auto" w:w="0"/>
        <w:tblLook w:firstColumn="1" w:firstRow="1" w:lastColumn="0" w:lastRow="0" w:noHBand="0" w:noVBand="1" w:val="04A0"/>
      </w:tblPr>
      <w:tblGrid>
        <w:gridCol w:w="4320"/>
        <w:gridCol w:w="4320"/>
      </w:tblGrid>
      <w:tr>
        <w:tc>
          <w:tcPr>
            <w:tcW w:type="dxa" w:w="4320"/>
          </w:tcPr>
          <w:p>
            <w:r>
              <w:t>State Names</w:t>
            </w:r>
          </w:p>
        </w:tc>
        <w:tc>
          <w:tcPr>
            <w:tcW w:type="dxa" w:w="4320"/>
          </w:tcPr>
          <w:p>
            <w:r>
              <w:t>Low Severity, Moderate Severity, Severe</w:t>
            </w:r>
          </w:p>
        </w:tc>
      </w:tr>
      <w:tr>
        <w:tc>
          <w:tcPr>
            <w:tcW w:type="dxa" w:w="4320"/>
          </w:tcPr>
          <w:p>
            <w:r>
              <w:t>Min Statements For Transition Assumption</w:t>
            </w:r>
          </w:p>
        </w:tc>
        <w:tc>
          <w:tcPr>
            <w:tcW w:type="dxa" w:w="4320"/>
          </w:tcPr>
          <w:p>
            <w:r>
              <w:t>2</w:t>
            </w:r>
          </w:p>
        </w:tc>
      </w:tr>
      <w:tr>
        <w:tc>
          <w:tcPr>
            <w:tcW w:type="dxa" w:w="4320"/>
          </w:tcPr>
          <w:p>
            <w:r>
              <w:t>Monitored Feature Count</w:t>
            </w:r>
          </w:p>
        </w:tc>
        <w:tc>
          <w:tcPr>
            <w:tcW w:type="dxa" w:w="4320"/>
          </w:tcPr>
          <w:p>
            <w:r>
              <w:t>89</w:t>
            </w:r>
          </w:p>
        </w:tc>
      </w:tr>
      <w:tr>
        <w:tc>
          <w:tcPr>
            <w:tcW w:type="dxa" w:w="4320"/>
          </w:tcPr>
          <w:p>
            <w:r>
              <w:t>Monitored Feature Source</w:t>
            </w:r>
          </w:p>
        </w:tc>
        <w:tc>
          <w:tcPr>
            <w:tcW w:type="dxa" w:w="4320"/>
          </w:tcPr>
          <w:p>
            <w:r>
              <w:t>Reused from Problem 4's real severity-scoring bundle</w:t>
            </w:r>
          </w:p>
        </w:tc>
      </w:tr>
      <w:tr>
        <w:tc>
          <w:tcPr>
            <w:tcW w:type="dxa" w:w="4320"/>
          </w:tcPr>
          <w:p>
            <w:r>
              <w:t>Transition Eligibility Coverage Pct Real</w:t>
            </w:r>
          </w:p>
        </w:tc>
        <w:tc>
          <w:tcPr>
            <w:tcW w:type="dxa" w:w="4320"/>
          </w:tcPr>
          <w:p>
            <w:r>
              <w:t>98.9%</w:t>
            </w:r>
          </w:p>
        </w:tc>
      </w:tr>
      <w:tr>
        <w:tc>
          <w:tcPr>
            <w:tcW w:type="dxa" w:w="4320"/>
          </w:tcPr>
          <w:p>
            <w:r>
              <w:t>Primary Kpi</w:t>
            </w:r>
          </w:p>
        </w:tc>
        <w:tc>
          <w:tcPr>
            <w:tcW w:type="dxa" w:w="4320"/>
          </w:tcPr>
          <w:p>
            <w:r>
              <w:t>Monotonic default-rate ratio across states (ASSUMPTION target)</w:t>
            </w:r>
          </w:p>
        </w:tc>
      </w:tr>
      <w:tr>
        <w:tc>
          <w:tcPr>
            <w:tcW w:type="dxa" w:w="4320"/>
          </w:tcPr>
          <w:p>
            <w:r>
              <w:t>Secondary Kpi</w:t>
            </w:r>
          </w:p>
        </w:tc>
        <w:tc>
          <w:tcPr>
            <w:tcW w:type="dxa" w:w="4320"/>
          </w:tcPr>
          <w:p>
            <w:r>
              <w:t>Transition coherence: P(Severe-&gt;Severe) &gt; P(Low-&gt;Severe) (hard gate)</w:t>
            </w:r>
          </w:p>
        </w:tc>
      </w:tr>
      <w:tr>
        <w:tc>
          <w:tcPr>
            <w:tcW w:type="dxa" w:w="4320"/>
          </w:tcPr>
          <w:p>
            <w:r>
              <w:t>Problem 6 Reference Winning W</w:t>
            </w:r>
          </w:p>
        </w:tc>
        <w:tc>
          <w:tcPr>
            <w:tcW w:type="dxa" w:w="4320"/>
          </w:tcPr>
          <w:p>
            <w:r>
              <w:t>3</w:t>
            </w:r>
          </w:p>
        </w:tc>
      </w:tr>
      <w:tr>
        <w:tc>
          <w:tcPr>
            <w:tcW w:type="dxa" w:w="4320"/>
          </w:tcPr>
          <w:p>
            <w:r>
              <w:t>Problem 6 Reference Recommended</w:t>
            </w:r>
          </w:p>
        </w:tc>
        <w:tc>
          <w:tcPr>
            <w:tcW w:type="dxa" w:w="4320"/>
          </w:tcPr>
          <w:p>
            <w:r>
              <w:t>True</w:t>
            </w:r>
          </w:p>
        </w:tc>
      </w:tr>
    </w:tbl>
    <w:p>
      <w:pPr>
        <w:pStyle w:val="Heading1"/>
      </w:pPr>
      <w:r>
        <w:t>3. Modeling -- Severity States &amp; Transition Matrix (Notebook 47)</w:t>
      </w:r>
    </w:p>
    <w:p>
      <w:r>
        <w:t>Notebook 47 fit the composite severity score on TRAIN, derived tertile cutpoints (CUT_LOW=-2.9302, CUT_HIGH=1.6645), assigned each real HOLDOUT statement to a state, and measured each state's real default rate: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State</w:t>
            </w:r>
          </w:p>
        </w:tc>
        <w:tc>
          <w:tcPr>
            <w:tcW w:type="dxa" w:w="1728"/>
          </w:tcPr>
          <w:p>
            <w:r>
              <w:t>N</w:t>
            </w:r>
          </w:p>
        </w:tc>
        <w:tc>
          <w:tcPr>
            <w:tcW w:type="dxa" w:w="1728"/>
          </w:tcPr>
          <w:p>
            <w:r>
              <w:t>Population Pct</w:t>
            </w:r>
          </w:p>
        </w:tc>
        <w:tc>
          <w:tcPr>
            <w:tcW w:type="dxa" w:w="1728"/>
          </w:tcPr>
          <w:p>
            <w:r>
              <w:t>N Defaulters</w:t>
            </w:r>
          </w:p>
        </w:tc>
        <w:tc>
          <w:tcPr>
            <w:tcW w:type="dxa" w:w="1728"/>
          </w:tcPr>
          <w:p>
            <w:r>
              <w:t>Default Rate</w:t>
            </w:r>
          </w:p>
        </w:tc>
      </w:tr>
      <w:tr>
        <w:tc>
          <w:tcPr>
            <w:tcW w:type="dxa" w:w="1728"/>
          </w:tcPr>
          <w:p>
            <w:r>
              <w:t>Low Severity</w:t>
            </w:r>
          </w:p>
        </w:tc>
        <w:tc>
          <w:tcPr>
            <w:tcW w:type="dxa" w:w="1728"/>
          </w:tcPr>
          <w:p>
            <w:r>
              <w:t>29,064</w:t>
            </w:r>
          </w:p>
        </w:tc>
        <w:tc>
          <w:tcPr>
            <w:tcW w:type="dxa" w:w="1728"/>
          </w:tcPr>
          <w:p>
            <w:r>
              <w:t>31.7%</w:t>
            </w:r>
          </w:p>
        </w:tc>
        <w:tc>
          <w:tcPr>
            <w:tcW w:type="dxa" w:w="1728"/>
          </w:tcPr>
          <w:p>
            <w:r>
              <w:t>166</w:t>
            </w:r>
          </w:p>
        </w:tc>
        <w:tc>
          <w:tcPr>
            <w:tcW w:type="dxa" w:w="1728"/>
          </w:tcPr>
          <w:p>
            <w:r>
              <w:t>0.0057</w:t>
            </w:r>
          </w:p>
        </w:tc>
      </w:tr>
      <w:tr>
        <w:tc>
          <w:tcPr>
            <w:tcW w:type="dxa" w:w="1728"/>
          </w:tcPr>
          <w:p>
            <w:r>
              <w:t>Moderate Severity</w:t>
            </w:r>
          </w:p>
        </w:tc>
        <w:tc>
          <w:tcPr>
            <w:tcW w:type="dxa" w:w="1728"/>
          </w:tcPr>
          <w:p>
            <w:r>
              <w:t>28,435</w:t>
            </w:r>
          </w:p>
        </w:tc>
        <w:tc>
          <w:tcPr>
            <w:tcW w:type="dxa" w:w="1728"/>
          </w:tcPr>
          <w:p>
            <w:r>
              <w:t>31.0%</w:t>
            </w:r>
          </w:p>
        </w:tc>
        <w:tc>
          <w:tcPr>
            <w:tcW w:type="dxa" w:w="1728"/>
          </w:tcPr>
          <w:p>
            <w:r>
              <w:t>2,606</w:t>
            </w:r>
          </w:p>
        </w:tc>
        <w:tc>
          <w:tcPr>
            <w:tcW w:type="dxa" w:w="1728"/>
          </w:tcPr>
          <w:p>
            <w:r>
              <w:t>0.0916</w:t>
            </w:r>
          </w:p>
        </w:tc>
      </w:tr>
      <w:tr>
        <w:tc>
          <w:tcPr>
            <w:tcW w:type="dxa" w:w="1728"/>
          </w:tcPr>
          <w:p>
            <w:r>
              <w:t>Severe</w:t>
            </w:r>
          </w:p>
        </w:tc>
        <w:tc>
          <w:tcPr>
            <w:tcW w:type="dxa" w:w="1728"/>
          </w:tcPr>
          <w:p>
            <w:r>
              <w:t>34,284</w:t>
            </w:r>
          </w:p>
        </w:tc>
        <w:tc>
          <w:tcPr>
            <w:tcW w:type="dxa" w:w="1728"/>
          </w:tcPr>
          <w:p>
            <w:r>
              <w:t>37.4%</w:t>
            </w:r>
          </w:p>
        </w:tc>
        <w:tc>
          <w:tcPr>
            <w:tcW w:type="dxa" w:w="1728"/>
          </w:tcPr>
          <w:p>
            <w:r>
              <w:t>20,994</w:t>
            </w:r>
          </w:p>
        </w:tc>
        <w:tc>
          <w:tcPr>
            <w:tcW w:type="dxa" w:w="1728"/>
          </w:tcPr>
          <w:p>
            <w:r>
              <w:t>0.6124</w:t>
            </w:r>
          </w:p>
        </w:tc>
      </w:tr>
    </w:tbl>
    <w:p>
      <w:r>
        <w:t>Monotonic (Low &lt; Moderate &lt; Severe default rate): True. Severe/Low default-rate ratio: 107.214x. Notebook 47 then built the real empirical transition-probability matrix from 1,014,535 observed HOLDOUT transition pairs: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From State</w:t>
            </w:r>
          </w:p>
        </w:tc>
        <w:tc>
          <w:tcPr>
            <w:tcW w:type="dxa" w:w="2160"/>
          </w:tcPr>
          <w:p>
            <w:r>
              <w:t>To Low Severity</w:t>
            </w:r>
          </w:p>
        </w:tc>
        <w:tc>
          <w:tcPr>
            <w:tcW w:type="dxa" w:w="2160"/>
          </w:tcPr>
          <w:p>
            <w:r>
              <w:t>To Moderate Severity</w:t>
            </w:r>
          </w:p>
        </w:tc>
        <w:tc>
          <w:tcPr>
            <w:tcW w:type="dxa" w:w="2160"/>
          </w:tcPr>
          <w:p>
            <w:r>
              <w:t>To Severe</w:t>
            </w:r>
          </w:p>
        </w:tc>
      </w:tr>
      <w:tr>
        <w:tc>
          <w:tcPr>
            <w:tcW w:type="dxa" w:w="2160"/>
          </w:tcPr>
          <w:p>
            <w:r>
              <w:t>Low Severity</w:t>
            </w:r>
          </w:p>
        </w:tc>
        <w:tc>
          <w:tcPr>
            <w:tcW w:type="dxa" w:w="2160"/>
          </w:tcPr>
          <w:p>
            <w:r>
              <w:t>0.9421</w:t>
            </w:r>
          </w:p>
        </w:tc>
        <w:tc>
          <w:tcPr>
            <w:tcW w:type="dxa" w:w="2160"/>
          </w:tcPr>
          <w:p>
            <w:r>
              <w:t>0.0578</w:t>
            </w:r>
          </w:p>
        </w:tc>
        <w:tc>
          <w:tcPr>
            <w:tcW w:type="dxa" w:w="2160"/>
          </w:tcPr>
          <w:p>
            <w:r>
              <w:t>0.0000</w:t>
            </w:r>
          </w:p>
        </w:tc>
      </w:tr>
      <w:tr>
        <w:tc>
          <w:tcPr>
            <w:tcW w:type="dxa" w:w="2160"/>
          </w:tcPr>
          <w:p>
            <w:r>
              <w:t>Moderate Severity</w:t>
            </w:r>
          </w:p>
        </w:tc>
        <w:tc>
          <w:tcPr>
            <w:tcW w:type="dxa" w:w="2160"/>
          </w:tcPr>
          <w:p>
            <w:r>
              <w:t>0.0613</w:t>
            </w:r>
          </w:p>
        </w:tc>
        <w:tc>
          <w:tcPr>
            <w:tcW w:type="dxa" w:w="2160"/>
          </w:tcPr>
          <w:p>
            <w:r>
              <w:t>0.8747</w:t>
            </w:r>
          </w:p>
        </w:tc>
        <w:tc>
          <w:tcPr>
            <w:tcW w:type="dxa" w:w="2160"/>
          </w:tcPr>
          <w:p>
            <w:r>
              <w:t>0.0640</w:t>
            </w:r>
          </w:p>
        </w:tc>
      </w:tr>
      <w:tr>
        <w:tc>
          <w:tcPr>
            <w:tcW w:type="dxa" w:w="2160"/>
          </w:tcPr>
          <w:p>
            <w:r>
              <w:t>Severe</w:t>
            </w:r>
          </w:p>
        </w:tc>
        <w:tc>
          <w:tcPr>
            <w:tcW w:type="dxa" w:w="2160"/>
          </w:tcPr>
          <w:p>
            <w:r>
              <w:t>0.0001</w:t>
            </w:r>
          </w:p>
        </w:tc>
        <w:tc>
          <w:tcPr>
            <w:tcW w:type="dxa" w:w="2160"/>
          </w:tcPr>
          <w:p>
            <w:r>
              <w:t>0.0442</w:t>
            </w:r>
          </w:p>
        </w:tc>
        <w:tc>
          <w:tcPr>
            <w:tcW w:type="dxa" w:w="2160"/>
          </w:tcPr>
          <w:p>
            <w:r>
              <w:t>0.9558</w:t>
            </w:r>
          </w:p>
        </w:tc>
      </w:tr>
    </w:tbl>
    <w:p>
      <w:r>
        <w:t>Escalation-validity: among customers with an observed last transition, escalated customers (worsening state) had a real default rate of 0.231 vs. 0.260 for non-escalated customers -- treating ESCALATED as the binary prediction, per the platform's standing metrics-suite directive.</w:t>
      </w:r>
    </w:p>
    <w:p>
      <w:r>
        <w:drawing>
          <wp:inline xmlns:a="http://schemas.openxmlformats.org/drawingml/2006/main" xmlns:pic="http://schemas.openxmlformats.org/drawingml/2006/picture">
            <wp:extent cx="5486400" cy="4642338"/>
            <wp:docPr id="1" name="Picture 1"/>
            <wp:cNvGraphicFramePr>
              <a:graphicFrameLocks noChangeAspect="1"/>
            </wp:cNvGraphicFramePr>
            <a:graphic>
              <a:graphicData uri="http://schemas.openxmlformats.org/drawingml/2006/picture">
                <pic:pic>
                  <pic:nvPicPr>
                    <pic:cNvPr id="0" name="notebook_47_transition_matrix_heatmap.png"/>
                    <pic:cNvPicPr/>
                  </pic:nvPicPr>
                  <pic:blipFill>
                    <a:blip r:embed="rId9"/>
                    <a:stretch>
                      <a:fillRect/>
                    </a:stretch>
                  </pic:blipFill>
                  <pic:spPr>
                    <a:xfrm>
                      <a:off x="0" y="0"/>
                      <a:ext cx="5486400" cy="4642338"/>
                    </a:xfrm>
                    <a:prstGeom prst="rect"/>
                  </pic:spPr>
                </pic:pic>
              </a:graphicData>
            </a:graphic>
          </wp:inline>
        </w:drawing>
      </w:r>
    </w:p>
    <w:p>
      <w:pPr>
        <w:jc w:val="center"/>
      </w:pPr>
      <w:r>
        <w:rPr>
          <w:b/>
          <w:sz w:val="20"/>
        </w:rPr>
        <w:t>Figure 1. Real Empirical Transition-Probability Matrix Heatmap (Notebook 47)</w:t>
      </w:r>
    </w:p>
    <w:p>
      <w:pPr>
        <w:spacing w:after="280"/>
      </w:pPr>
      <w:r>
        <w:t>Each cell is the real, measured probability of moving from the row's state to the column's state between two consecutive HOLDOUT statements. A well-behaved roll-rate model shows most mass on or near the diagonal (states persist) with meaningfully more mass moving toward Severe than back toward Low -- the coherence KPI (Section 4 below) formalizes exactly this intuition as P(Severe-&gt;Severe) &gt; P(Low-&gt;Severe).</w:t>
      </w:r>
    </w:p>
    <w:p>
      <w:r>
        <w:drawing>
          <wp:inline xmlns:a="http://schemas.openxmlformats.org/drawingml/2006/main" xmlns:pic="http://schemas.openxmlformats.org/drawingml/2006/picture">
            <wp:extent cx="5486400" cy="4220308"/>
            <wp:docPr id="2" name="Picture 2"/>
            <wp:cNvGraphicFramePr>
              <a:graphicFrameLocks noChangeAspect="1"/>
            </wp:cNvGraphicFramePr>
            <a:graphic>
              <a:graphicData uri="http://schemas.openxmlformats.org/drawingml/2006/picture">
                <pic:pic>
                  <pic:nvPicPr>
                    <pic:cNvPr id="0" name="notebook_47_default_rate_by_state.png"/>
                    <pic:cNvPicPr/>
                  </pic:nvPicPr>
                  <pic:blipFill>
                    <a:blip r:embed="rId10"/>
                    <a:stretch>
                      <a:fillRect/>
                    </a:stretch>
                  </pic:blipFill>
                  <pic:spPr>
                    <a:xfrm>
                      <a:off x="0" y="0"/>
                      <a:ext cx="5486400" cy="4220308"/>
                    </a:xfrm>
                    <a:prstGeom prst="rect"/>
                  </pic:spPr>
                </pic:pic>
              </a:graphicData>
            </a:graphic>
          </wp:inline>
        </w:drawing>
      </w:r>
    </w:p>
    <w:p>
      <w:pPr>
        <w:jc w:val="center"/>
      </w:pPr>
      <w:r>
        <w:rPr>
          <w:b/>
          <w:sz w:val="20"/>
        </w:rPr>
        <w:t>Figure 2. Real Default Rate by Delinquency Severity State (Notebook 47)</w:t>
      </w:r>
    </w:p>
    <w:p>
      <w:pPr>
        <w:spacing w:after="280"/>
      </w:pPr>
      <w:r>
        <w:t>This is the technique's PRIMARY KPI: does a worse severity state track a higher real default rate? On this run, states are monotonic (107.21x Severe-to-Low ratio against the &gt;= 1.5x target) -- the tier-separation property a roll-rate model needs to be useful for prioritizing collections and reserve-timing decisions.</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notebook_47_escalation_validity.png"/>
                    <pic:cNvPicPr/>
                  </pic:nvPicPr>
                  <pic:blipFill>
                    <a:blip r:embed="rId11"/>
                    <a:stretch>
                      <a:fillRect/>
                    </a:stretch>
                  </pic:blipFill>
                  <pic:spPr>
                    <a:xfrm>
                      <a:off x="0" y="0"/>
                      <a:ext cx="5486400" cy="4572000"/>
                    </a:xfrm>
                    <a:prstGeom prst="rect"/>
                  </pic:spPr>
                </pic:pic>
              </a:graphicData>
            </a:graphic>
          </wp:inline>
        </w:drawing>
      </w:r>
    </w:p>
    <w:p>
      <w:pPr>
        <w:jc w:val="center"/>
      </w:pPr>
      <w:r>
        <w:rPr>
          <w:b/>
          <w:sz w:val="20"/>
        </w:rPr>
        <w:t>Figure 3. Escalation Validity -- Default Rate by Escalated vs. Not (Notebook 47)</w:t>
      </w:r>
    </w:p>
    <w:p>
      <w:pPr>
        <w:spacing w:after="280"/>
      </w:pPr>
      <w:r>
        <w:t>Confirms that the binary ESCALATED flag this notebook's financial calculations are built on -- derived from an OBSERVED last-transition worsening, not a probabilistic score -- genuinely separates real defaulters from non-defaulters, which is the precondition for the loss-prevention opportunity estimated in Section 6 below.</w:t>
      </w:r>
    </w:p>
    <w:p>
      <w:pPr>
        <w:pStyle w:val="Heading1"/>
      </w:pPr>
      <w:r>
        <w:t>4. Validation &amp; Deployment (Notebook 48)</w:t>
      </w:r>
    </w:p>
    <w:p>
      <w:r>
        <w:t>Notebook 48 deterministically rebuilt Notebook 47's ENTIRE pipeline from scratch (this pipeline has zero randomness -- no model fit, only correlation-weighted composite z-scores and empirical transition counts) and reproduced every deterministic quantity exactly as an integrity check, then bootstrapped real 95% confidence intervals on both hard-gate KPIs, ran a split-half severity-score PSI check, generated and live-tested a real FastAPI scoring service, and made the final honest RECOMMENDED / NOT RECOMMENDED FOR PRODUCTION call.</w:t>
      </w:r>
    </w:p>
    <w:tbl>
      <w:tblPr>
        <w:tblStyle w:val="LightGrid-Accent1"/>
        <w:tblW w:type="auto" w:w="0"/>
        <w:tblLook w:firstColumn="1" w:firstRow="1" w:lastColumn="0" w:lastRow="0" w:noHBand="0" w:noVBand="1" w:val="04A0"/>
      </w:tblPr>
      <w:tblGrid>
        <w:gridCol w:w="4320"/>
        <w:gridCol w:w="4320"/>
      </w:tblGrid>
      <w:tr>
        <w:tc>
          <w:tcPr>
            <w:tcW w:type="dxa" w:w="4320"/>
          </w:tcPr>
          <w:p>
            <w:r>
              <w:t>Reproduction Matches Notebook 47</w:t>
            </w:r>
          </w:p>
        </w:tc>
        <w:tc>
          <w:tcPr>
            <w:tcW w:type="dxa" w:w="4320"/>
          </w:tcPr>
          <w:p>
            <w:r>
              <w:t>True</w:t>
            </w:r>
          </w:p>
        </w:tc>
      </w:tr>
      <w:tr>
        <w:tc>
          <w:tcPr>
            <w:tcW w:type="dxa" w:w="4320"/>
          </w:tcPr>
          <w:p>
            <w:r>
              <w:t>Meets Monotonicity Kpi</w:t>
            </w:r>
          </w:p>
        </w:tc>
        <w:tc>
          <w:tcPr>
            <w:tcW w:type="dxa" w:w="4320"/>
          </w:tcPr>
          <w:p>
            <w:r>
              <w:t>True</w:t>
            </w:r>
          </w:p>
        </w:tc>
      </w:tr>
      <w:tr>
        <w:tc>
          <w:tcPr>
            <w:tcW w:type="dxa" w:w="4320"/>
          </w:tcPr>
          <w:p>
            <w:r>
              <w:t>Severe To Low Ratio 95Pct Ci</w:t>
            </w:r>
          </w:p>
        </w:tc>
        <w:tc>
          <w:tcPr>
            <w:tcW w:type="dxa" w:w="4320"/>
          </w:tcPr>
          <w:p>
            <w:r>
              <w:t>[92.776x, 125.174x]</w:t>
            </w:r>
          </w:p>
        </w:tc>
      </w:tr>
      <w:tr>
        <w:tc>
          <w:tcPr>
            <w:tcW w:type="dxa" w:w="4320"/>
          </w:tcPr>
          <w:p>
            <w:r>
              <w:t>Meets Coherence Kpi</w:t>
            </w:r>
          </w:p>
        </w:tc>
        <w:tc>
          <w:tcPr>
            <w:tcW w:type="dxa" w:w="4320"/>
          </w:tcPr>
          <w:p>
            <w:r>
              <w:t>True</w:t>
            </w:r>
          </w:p>
        </w:tc>
      </w:tr>
      <w:tr>
        <w:tc>
          <w:tcPr>
            <w:tcW w:type="dxa" w:w="4320"/>
          </w:tcPr>
          <w:p>
            <w:r>
              <w:t>Coherence Gap 95Pct Ci</w:t>
            </w:r>
          </w:p>
        </w:tc>
        <w:tc>
          <w:tcPr>
            <w:tcW w:type="dxa" w:w="4320"/>
          </w:tcPr>
          <w:p>
            <w:r>
              <w:t>[0.9550, 0.9564]</w:t>
            </w:r>
          </w:p>
        </w:tc>
      </w:tr>
      <w:tr>
        <w:tc>
          <w:tcPr>
            <w:tcW w:type="dxa" w:w="4320"/>
          </w:tcPr>
          <w:p>
            <w:r>
              <w:t>Escalation Roc Auc 95Pct Ci</w:t>
            </w:r>
          </w:p>
        </w:tc>
        <w:tc>
          <w:tcPr>
            <w:tcW w:type="dxa" w:w="4320"/>
          </w:tcPr>
          <w:p>
            <w:r>
              <w:t>[0.5109, 0.5144]</w:t>
            </w:r>
          </w:p>
        </w:tc>
      </w:tr>
      <w:tr>
        <w:tc>
          <w:tcPr>
            <w:tcW w:type="dxa" w:w="4320"/>
          </w:tcPr>
          <w:p>
            <w:r>
              <w:t>Escalation Pr Auc 95Pct Ci</w:t>
            </w:r>
          </w:p>
        </w:tc>
        <w:tc>
          <w:tcPr>
            <w:tcW w:type="dxa" w:w="4320"/>
          </w:tcPr>
          <w:p>
            <w:r>
              <w:t>[0.2608, 0.2665]</w:t>
            </w:r>
          </w:p>
        </w:tc>
      </w:tr>
      <w:tr>
        <w:tc>
          <w:tcPr>
            <w:tcW w:type="dxa" w:w="4320"/>
          </w:tcPr>
          <w:p>
            <w:r>
              <w:t>Split Half Severity Score Psi</w:t>
            </w:r>
          </w:p>
        </w:tc>
        <w:tc>
          <w:tcPr>
            <w:tcW w:type="dxa" w:w="4320"/>
          </w:tcPr>
          <w:p>
            <w:r>
              <w:t>0.0001</w:t>
            </w:r>
          </w:p>
        </w:tc>
      </w:tr>
      <w:tr>
        <w:tc>
          <w:tcPr>
            <w:tcW w:type="dxa" w:w="4320"/>
          </w:tcPr>
          <w:p>
            <w:r>
              <w:t>All Statistical Checks Pass</w:t>
            </w:r>
          </w:p>
        </w:tc>
        <w:tc>
          <w:tcPr>
            <w:tcW w:type="dxa" w:w="4320"/>
          </w:tcPr>
          <w:p>
            <w:r>
              <w:t>True</w:t>
            </w:r>
          </w:p>
        </w:tc>
      </w:tr>
      <w:tr>
        <w:tc>
          <w:tcPr>
            <w:tcW w:type="dxa" w:w="4320"/>
          </w:tcPr>
          <w:p>
            <w:r>
              <w:t>Recommended For Production</w:t>
            </w:r>
          </w:p>
        </w:tc>
        <w:tc>
          <w:tcPr>
            <w:tcW w:type="dxa" w:w="4320"/>
          </w:tcPr>
          <w:p>
            <w:r>
              <w:t>True</w:t>
            </w:r>
          </w:p>
        </w:tc>
      </w:tr>
      <w:tr>
        <w:tc>
          <w:tcPr>
            <w:tcW w:type="dxa" w:w="4320"/>
          </w:tcPr>
          <w:p>
            <w:r>
              <w:t>Api P50 P99 Latency Ms</w:t>
            </w:r>
          </w:p>
        </w:tc>
        <w:tc>
          <w:tcPr>
            <w:tcW w:type="dxa" w:w="4320"/>
          </w:tcPr>
          <w:p>
            <w:r>
              <w:t>5.322 / 21.487</w:t>
            </w:r>
          </w:p>
        </w:tc>
      </w:tr>
    </w:tbl>
    <w:p>
      <w:r>
        <w:drawing>
          <wp:inline xmlns:a="http://schemas.openxmlformats.org/drawingml/2006/main" xmlns:pic="http://schemas.openxmlformats.org/drawingml/2006/picture">
            <wp:extent cx="5486400" cy="3526971"/>
            <wp:docPr id="4" name="Picture 4"/>
            <wp:cNvGraphicFramePr>
              <a:graphicFrameLocks noChangeAspect="1"/>
            </wp:cNvGraphicFramePr>
            <a:graphic>
              <a:graphicData uri="http://schemas.openxmlformats.org/drawingml/2006/picture">
                <pic:pic>
                  <pic:nvPicPr>
                    <pic:cNvPr id="0" name="notebook_48_bootstrap_ratio_distribution.png"/>
                    <pic:cNvPicPr/>
                  </pic:nvPicPr>
                  <pic:blipFill>
                    <a:blip r:embed="rId12"/>
                    <a:stretch>
                      <a:fillRect/>
                    </a:stretch>
                  </pic:blipFill>
                  <pic:spPr>
                    <a:xfrm>
                      <a:off x="0" y="0"/>
                      <a:ext cx="5486400" cy="3526971"/>
                    </a:xfrm>
                    <a:prstGeom prst="rect"/>
                  </pic:spPr>
                </pic:pic>
              </a:graphicData>
            </a:graphic>
          </wp:inline>
        </w:drawing>
      </w:r>
    </w:p>
    <w:p>
      <w:pPr>
        <w:jc w:val="center"/>
      </w:pPr>
      <w:r>
        <w:rPr>
          <w:b/>
          <w:sz w:val="20"/>
        </w:rPr>
        <w:t>Figure 4. Bootstrap Distribution -- Severe/Low Default-Rate Ratio (Notebook 48)</w:t>
      </w:r>
    </w:p>
    <w:p>
      <w:pPr>
        <w:spacing w:after="280"/>
      </w:pPr>
      <w:r>
        <w:t>Rather than trust a single point estimate of 107.21x, Notebook 48 resampled the HOLDOUT latest-statement population 2,000 times (with replacement) and recomputed the ratio each time -- this histogram is the resulting distribution. The 95% confidence interval, [92.78x, 125.17x], reflects real statistical uncertainty around this primary KPI's point estimate.</w:t>
      </w:r>
    </w:p>
    <w:p>
      <w:r>
        <w:drawing>
          <wp:inline xmlns:a="http://schemas.openxmlformats.org/drawingml/2006/main" xmlns:pic="http://schemas.openxmlformats.org/drawingml/2006/picture">
            <wp:extent cx="5486400" cy="3526971"/>
            <wp:docPr id="5" name="Picture 5"/>
            <wp:cNvGraphicFramePr>
              <a:graphicFrameLocks noChangeAspect="1"/>
            </wp:cNvGraphicFramePr>
            <a:graphic>
              <a:graphicData uri="http://schemas.openxmlformats.org/drawingml/2006/picture">
                <pic:pic>
                  <pic:nvPicPr>
                    <pic:cNvPr id="0" name="notebook_48_bootstrap_coherence_gap_distribution.png"/>
                    <pic:cNvPicPr/>
                  </pic:nvPicPr>
                  <pic:blipFill>
                    <a:blip r:embed="rId13"/>
                    <a:stretch>
                      <a:fillRect/>
                    </a:stretch>
                  </pic:blipFill>
                  <pic:spPr>
                    <a:xfrm>
                      <a:off x="0" y="0"/>
                      <a:ext cx="5486400" cy="3526971"/>
                    </a:xfrm>
                    <a:prstGeom prst="rect"/>
                  </pic:spPr>
                </pic:pic>
              </a:graphicData>
            </a:graphic>
          </wp:inline>
        </w:drawing>
      </w:r>
    </w:p>
    <w:p>
      <w:pPr>
        <w:jc w:val="center"/>
      </w:pPr>
      <w:r>
        <w:rPr>
          <w:b/>
          <w:sz w:val="20"/>
        </w:rPr>
        <w:t>Figure 5. Bootstrap Distribution -- Transition Coherence Gap (Notebook 48)</w:t>
      </w:r>
    </w:p>
    <w:p>
      <w:pPr>
        <w:spacing w:after="280"/>
      </w:pPr>
      <w:r>
        <w:t>This is a genuinely novel confidence interval with no earlier-problem precedent: Notebook 48 resampled the real observed transition pairs 2,000 times and recomputed the gap P(Severe-&gt;Severe) - P(Low-&gt;Severe) each time. On this run the point estimate is 0.9557 (95% CI [0.9550, 0.9564]) -- positive throughout the interval, meeting the coherence hard gate.</w:t>
      </w:r>
    </w:p>
    <w:p>
      <w:pPr>
        <w:pStyle w:val="Heading1"/>
      </w:pPr>
      <w:r>
        <w:t>5. Real Escalation Value: Population Flagged</w:t>
      </w:r>
    </w:p>
    <w:p>
      <w:r>
        <w:t>Every count in this section comes directly from Notebook 47's real confusion matrix (treating ESCALATED as the predicted class), independently reproduced byte-for-byte by Notebook 48's zero-randomness integrity check -- exact, not derived or estimated.</w:t>
      </w:r>
    </w:p>
    <w:tbl>
      <w:tblPr>
        <w:tblStyle w:val="LightGrid-Accent1"/>
        <w:tblW w:type="auto" w:w="0"/>
        <w:tblLook w:firstColumn="1" w:firstRow="1" w:lastColumn="0" w:lastRow="0" w:noHBand="0" w:noVBand="1" w:val="04A0"/>
      </w:tblPr>
      <w:tblGrid>
        <w:gridCol w:w="4320"/>
        <w:gridCol w:w="4320"/>
      </w:tblGrid>
      <w:tr>
        <w:tc>
          <w:tcPr>
            <w:tcW w:type="dxa" w:w="4320"/>
          </w:tcPr>
          <w:p>
            <w:r>
              <w:t>Real Last Transition Population</w:t>
            </w:r>
          </w:p>
        </w:tc>
        <w:tc>
          <w:tcPr>
            <w:tcW w:type="dxa" w:w="4320"/>
          </w:tcPr>
          <w:p>
            <w:r>
              <w:t>90,783</w:t>
            </w:r>
          </w:p>
        </w:tc>
      </w:tr>
      <w:tr>
        <w:tc>
          <w:tcPr>
            <w:tcW w:type="dxa" w:w="4320"/>
          </w:tcPr>
          <w:p>
            <w:r>
              <w:t>Real Defaulters Among Last Transitions</w:t>
            </w:r>
          </w:p>
        </w:tc>
        <w:tc>
          <w:tcPr>
            <w:tcW w:type="dxa" w:w="4320"/>
          </w:tcPr>
          <w:p>
            <w:r>
              <w:t>23,461</w:t>
            </w:r>
          </w:p>
        </w:tc>
      </w:tr>
      <w:tr>
        <w:tc>
          <w:tcPr>
            <w:tcW w:type="dxa" w:w="4320"/>
          </w:tcPr>
          <w:p>
            <w:r>
              <w:t>True Positives Escalated</w:t>
            </w:r>
          </w:p>
        </w:tc>
        <w:tc>
          <w:tcPr>
            <w:tcW w:type="dxa" w:w="4320"/>
          </w:tcPr>
          <w:p>
            <w:r>
              <w:t>933</w:t>
            </w:r>
          </w:p>
        </w:tc>
      </w:tr>
      <w:tr>
        <w:tc>
          <w:tcPr>
            <w:tcW w:type="dxa" w:w="4320"/>
          </w:tcPr>
          <w:p>
            <w:r>
              <w:t>False Positives Escalated</w:t>
            </w:r>
          </w:p>
        </w:tc>
        <w:tc>
          <w:tcPr>
            <w:tcW w:type="dxa" w:w="4320"/>
          </w:tcPr>
          <w:p>
            <w:r>
              <w:t>3,109</w:t>
            </w:r>
          </w:p>
        </w:tc>
      </w:tr>
      <w:tr>
        <w:tc>
          <w:tcPr>
            <w:tcW w:type="dxa" w:w="4320"/>
          </w:tcPr>
          <w:p>
            <w:r>
              <w:t>Real Defaulter Capture Rate Among Escalated</w:t>
            </w:r>
          </w:p>
        </w:tc>
        <w:tc>
          <w:tcPr>
            <w:tcW w:type="dxa" w:w="4320"/>
          </w:tcPr>
          <w:p>
            <w:r>
              <w:t>4.0%</w:t>
            </w:r>
          </w:p>
        </w:tc>
      </w:tr>
    </w:tbl>
    <w:p>
      <w:pPr>
        <w:pStyle w:val="Heading1"/>
      </w:pPr>
      <w:r>
        <w:t>6. Loss-Prevention Opportunity, Net of False-Positive Review Cost</w:t>
      </w:r>
    </w:p>
    <w:tbl>
      <w:tblPr>
        <w:tblStyle w:val="LightGrid-Accent1"/>
        <w:tblW w:type="auto" w:w="0"/>
        <w:tblLook w:firstColumn="1" w:firstRow="1" w:lastColumn="0" w:lastRow="0" w:noHBand="0" w:noVBand="1" w:val="04A0"/>
      </w:tblPr>
      <w:tblGrid>
        <w:gridCol w:w="4320"/>
        <w:gridCol w:w="4320"/>
      </w:tblGrid>
      <w:tr>
        <w:tc>
          <w:tcPr>
            <w:tcW w:type="dxa" w:w="4320"/>
          </w:tcPr>
          <w:p>
            <w:r>
              <w:t>True Positives Escalated</w:t>
            </w:r>
          </w:p>
        </w:tc>
        <w:tc>
          <w:tcPr>
            <w:tcW w:type="dxa" w:w="4320"/>
          </w:tcPr>
          <w:p>
            <w:r>
              <w:t>933</w:t>
            </w:r>
          </w:p>
        </w:tc>
      </w:tr>
      <w:tr>
        <w:tc>
          <w:tcPr>
            <w:tcW w:type="dxa" w:w="4320"/>
          </w:tcPr>
          <w:p>
            <w:r>
              <w:t>Escalation Intervention Success Rate Assumption</w:t>
            </w:r>
          </w:p>
        </w:tc>
        <w:tc>
          <w:tcPr>
            <w:tcW w:type="dxa" w:w="4320"/>
          </w:tcPr>
          <w:p>
            <w:r>
              <w:t>18%</w:t>
            </w:r>
          </w:p>
        </w:tc>
      </w:tr>
      <w:tr>
        <w:tc>
          <w:tcPr>
            <w:tcW w:type="dxa" w:w="4320"/>
          </w:tcPr>
          <w:p>
            <w:r>
              <w:t>Preventable Defaults</w:t>
            </w:r>
          </w:p>
        </w:tc>
        <w:tc>
          <w:tcPr>
            <w:tcW w:type="dxa" w:w="4320"/>
          </w:tcPr>
          <w:p>
            <w:r>
              <w:t>168</w:t>
            </w:r>
          </w:p>
        </w:tc>
      </w:tr>
      <w:tr>
        <w:tc>
          <w:tcPr>
            <w:tcW w:type="dxa" w:w="4320"/>
          </w:tcPr>
          <w:p>
            <w:r>
              <w:t>Gross Loss Prevented Per Cycle Usd</w:t>
            </w:r>
          </w:p>
        </w:tc>
        <w:tc>
          <w:tcPr>
            <w:tcW w:type="dxa" w:w="4320"/>
          </w:tcPr>
          <w:p>
            <w:r>
              <w:t>$378,000</w:t>
            </w:r>
          </w:p>
        </w:tc>
      </w:tr>
      <w:tr>
        <w:tc>
          <w:tcPr>
            <w:tcW w:type="dxa" w:w="4320"/>
          </w:tcPr>
          <w:p>
            <w:r>
              <w:t>False Positives Escalated</w:t>
            </w:r>
          </w:p>
        </w:tc>
        <w:tc>
          <w:tcPr>
            <w:tcW w:type="dxa" w:w="4320"/>
          </w:tcPr>
          <w:p>
            <w:r>
              <w:t>3109</w:t>
            </w:r>
          </w:p>
        </w:tc>
      </w:tr>
      <w:tr>
        <w:tc>
          <w:tcPr>
            <w:tcW w:type="dxa" w:w="4320"/>
          </w:tcPr>
          <w:p>
            <w:r>
              <w:t>False Positive Review Cost Per Account Assumption</w:t>
            </w:r>
          </w:p>
        </w:tc>
        <w:tc>
          <w:tcPr>
            <w:tcW w:type="dxa" w:w="4320"/>
          </w:tcPr>
          <w:p>
            <w:r>
              <w:t>$20</w:t>
            </w:r>
          </w:p>
        </w:tc>
      </w:tr>
      <w:tr>
        <w:tc>
          <w:tcPr>
            <w:tcW w:type="dxa" w:w="4320"/>
          </w:tcPr>
          <w:p>
            <w:r>
              <w:t>Total False Positive Review Cost Usd</w:t>
            </w:r>
          </w:p>
        </w:tc>
        <w:tc>
          <w:tcPr>
            <w:tcW w:type="dxa" w:w="4320"/>
          </w:tcPr>
          <w:p>
            <w:r>
              <w:t>$62,180</w:t>
            </w:r>
          </w:p>
        </w:tc>
      </w:tr>
      <w:tr>
        <w:tc>
          <w:tcPr>
            <w:tcW w:type="dxa" w:w="4320"/>
          </w:tcPr>
          <w:p>
            <w:r>
              <w:t>Net Benefit Per Cycle Usd</w:t>
            </w:r>
          </w:p>
        </w:tc>
        <w:tc>
          <w:tcPr>
            <w:tcW w:type="dxa" w:w="4320"/>
          </w:tcPr>
          <w:p>
            <w:r>
              <w:t>$315,820</w:t>
            </w:r>
          </w:p>
        </w:tc>
      </w:tr>
    </w:tbl>
    <w:p>
      <w:r>
        <w:drawing>
          <wp:inline xmlns:a="http://schemas.openxmlformats.org/drawingml/2006/main" xmlns:pic="http://schemas.openxmlformats.org/drawingml/2006/picture">
            <wp:extent cx="5486400" cy="3918857"/>
            <wp:docPr id="6" name="Picture 6"/>
            <wp:cNvGraphicFramePr>
              <a:graphicFrameLocks noChangeAspect="1"/>
            </wp:cNvGraphicFramePr>
            <a:graphic>
              <a:graphicData uri="http://schemas.openxmlformats.org/drawingml/2006/picture">
                <pic:pic>
                  <pic:nvPicPr>
                    <pic:cNvPr id="0" name="population_escalated_chart.png"/>
                    <pic:cNvPicPr/>
                  </pic:nvPicPr>
                  <pic:blipFill>
                    <a:blip r:embed="rId14"/>
                    <a:stretch>
                      <a:fillRect/>
                    </a:stretch>
                  </pic:blipFill>
                  <pic:spPr>
                    <a:xfrm>
                      <a:off x="0" y="0"/>
                      <a:ext cx="5486400" cy="3918857"/>
                    </a:xfrm>
                    <a:prstGeom prst="rect"/>
                  </pic:spPr>
                </pic:pic>
              </a:graphicData>
            </a:graphic>
          </wp:inline>
        </w:drawing>
      </w:r>
    </w:p>
    <w:p>
      <w:pPr>
        <w:jc w:val="center"/>
      </w:pPr>
      <w:r>
        <w:rPr>
          <w:b/>
          <w:sz w:val="20"/>
        </w:rPr>
        <w:t>Figure 6. Population Escalated -- Last Observed State Transition (Notebook 49)</w:t>
      </w:r>
    </w:p>
    <w:p>
      <w:pPr>
        <w:spacing w:after="280"/>
      </w:pPr>
      <w:r>
        <w:t>This is the same 933 true positives and 3,109 false positives from Section 5 above, shown visually to make the scale of the escalated population -- and the review-cost exposure it implies -- immediately legible. Every true positive is a dollar of potential loss-prevention opportunity (at the ASSUMPTION intervention success rate); every false positive is a dollar of review cost with no offsetting benefit. The net benefit figure in Section 6 above is exactly the difference between these two populations' dollar impact.</w:t>
      </w:r>
    </w:p>
    <w:p>
      <w:pPr>
        <w:pStyle w:val="Heading1"/>
      </w:pPr>
      <w:r>
        <w:t>7. ROI, Investment &amp; Payback</w:t>
      </w:r>
    </w:p>
    <w:tbl>
      <w:tblPr>
        <w:tblStyle w:val="LightGrid-Accent1"/>
        <w:tblW w:type="auto" w:w="0"/>
        <w:tblLook w:firstColumn="1" w:firstRow="1" w:lastColumn="0" w:lastRow="0" w:noHBand="0" w:noVBand="1" w:val="04A0"/>
      </w:tblPr>
      <w:tblGrid>
        <w:gridCol w:w="4320"/>
        <w:gridCol w:w="4320"/>
      </w:tblGrid>
      <w:tr>
        <w:tc>
          <w:tcPr>
            <w:tcW w:type="dxa" w:w="4320"/>
          </w:tcPr>
          <w:p>
            <w:r>
              <w:t>Amount Invested Usd</w:t>
            </w:r>
          </w:p>
        </w:tc>
        <w:tc>
          <w:tcPr>
            <w:tcW w:type="dxa" w:w="4320"/>
          </w:tcPr>
          <w:p>
            <w:r>
              <w:t>$40,000</w:t>
            </w:r>
          </w:p>
        </w:tc>
      </w:tr>
      <w:tr>
        <w:tc>
          <w:tcPr>
            <w:tcW w:type="dxa" w:w="4320"/>
          </w:tcPr>
          <w:p>
            <w:r>
              <w:t>Annual Net Benefit Usd</w:t>
            </w:r>
          </w:p>
        </w:tc>
        <w:tc>
          <w:tcPr>
            <w:tcW w:type="dxa" w:w="4320"/>
          </w:tcPr>
          <w:p>
            <w:r>
              <w:t>$3,789,840</w:t>
            </w:r>
          </w:p>
        </w:tc>
      </w:tr>
      <w:tr>
        <w:tc>
          <w:tcPr>
            <w:tcW w:type="dxa" w:w="4320"/>
          </w:tcPr>
          <w:p>
            <w:r>
              <w:t>Roi Year 1 Pct</w:t>
            </w:r>
          </w:p>
        </w:tc>
        <w:tc>
          <w:tcPr>
            <w:tcW w:type="dxa" w:w="4320"/>
          </w:tcPr>
          <w:p>
            <w:r>
              <w:t>9,375%</w:t>
            </w:r>
          </w:p>
        </w:tc>
      </w:tr>
      <w:tr>
        <w:tc>
          <w:tcPr>
            <w:tcW w:type="dxa" w:w="4320"/>
          </w:tcPr>
          <w:p>
            <w:r>
              <w:t>Payback Period Months</w:t>
            </w:r>
          </w:p>
        </w:tc>
        <w:tc>
          <w:tcPr>
            <w:tcW w:type="dxa" w:w="4320"/>
          </w:tcPr>
          <w:p>
            <w:r>
              <w:t>0.1 months</w:t>
            </w:r>
          </w:p>
        </w:tc>
      </w:tr>
    </w:tbl>
    <w:p>
      <w:pPr>
        <w:pStyle w:val="Heading1"/>
      </w:pPr>
      <w:r>
        <w:t>8. SMART Suggestions by Organizational Level</w:t>
      </w:r>
    </w:p>
    <w:tbl>
      <w:tblPr>
        <w:tblStyle w:val="LightGrid-Accent1"/>
        <w:tblW w:type="auto" w:w="0"/>
        <w:tblLook w:firstColumn="1" w:firstRow="1" w:lastColumn="0" w:lastRow="0" w:noHBand="0" w:noVBand="1" w:val="04A0"/>
      </w:tblPr>
      <w:tblGrid>
        <w:gridCol w:w="4320"/>
        <w:gridCol w:w="4320"/>
      </w:tblGrid>
      <w:tr>
        <w:tc>
          <w:tcPr>
            <w:tcW w:type="dxa" w:w="4320"/>
          </w:tcPr>
          <w:p>
            <w:r>
              <w:t>Org Level</w:t>
            </w:r>
          </w:p>
        </w:tc>
        <w:tc>
          <w:tcPr>
            <w:tcW w:type="dxa" w:w="4320"/>
          </w:tcPr>
          <w:p>
            <w:r>
              <w:t>Suggestion</w:t>
            </w:r>
          </w:p>
        </w:tc>
      </w:tr>
      <w:tr>
        <w:tc>
          <w:tcPr>
            <w:tcW w:type="dxa" w:w="4320"/>
          </w:tcPr>
          <w:p>
            <w:r>
              <w:t>Collections Ops / Frontline Risk Analysts</w:t>
            </w:r>
          </w:p>
        </w:tc>
        <w:tc>
          <w:tcPr>
            <w:tcW w:type="dxa" w:w="4320"/>
          </w:tcPr>
          <w:p>
            <w:r>
              <w:t>Work the 4,042-account escalation list from the real-time roll-rate scoring service (4.0% real defaulter capture among escalated accounts) as new statements land -- an ESCALATED flag means the customer's OBSERVED last transition moved to a strictly worse delinquency severity tier, a realized behavioral event, so route these accounts to same-cycle outreach ahead of accounts merely sitting in a high-severity state without a fresh escalation.</w:t>
            </w:r>
          </w:p>
        </w:tc>
      </w:tr>
      <w:tr>
        <w:tc>
          <w:tcPr>
            <w:tcW w:type="dxa" w:w="4320"/>
          </w:tcPr>
          <w:p>
            <w:r>
              <w:t>Portfolio Risk Team Lead</w:t>
            </w:r>
          </w:p>
        </w:tc>
        <w:tc>
          <w:tcPr>
            <w:tcW w:type="dxa" w:w="4320"/>
          </w:tcPr>
          <w:p>
            <w:r>
              <w:t>Track the 168-account intervention goal (from the 18% ASSUMPTION success rate) and the 3,109 real false positives (review-cost exposure) as paired weekly KPIs, exactly as Problems 6 and 7 track their own pairs -- all three platforms trade the same true-positive/false-positive tension via different mechanisms (a trained model, a statistical deviation count, and this technique's observed Markov-state transition).</w:t>
            </w:r>
          </w:p>
        </w:tc>
      </w:tr>
      <w:tr>
        <w:tc>
          <w:tcPr>
            <w:tcW w:type="dxa" w:w="4320"/>
          </w:tcPr>
          <w:p>
            <w:r>
              <w:t>Risk / Credit Analyst</w:t>
            </w:r>
          </w:p>
        </w:tc>
        <w:tc>
          <w:tcPr>
            <w:tcW w:type="dxa" w:w="4320"/>
          </w:tcPr>
          <w:p>
            <w:r>
              <w:t>Monitor the real severe/low default-rate ratio (107.21x, 95% CI [92.78x, 125.17x]) and the transition coherence gap (0.9557, 95% CI [0.9550, 0.9564]) every cycle -- these are this technique's TWO hard-gate KPIs, and on this run the coherence gap is positive, as required, so both must be watched, not just the tier-separation ratio alone.</w:t>
            </w:r>
          </w:p>
        </w:tc>
      </w:tr>
      <w:tr>
        <w:tc>
          <w:tcPr>
            <w:tcW w:type="dxa" w:w="4320"/>
          </w:tcPr>
          <w:p>
            <w:r>
              <w:t>Model Risk / Compliance (SR 11-7)</w:t>
            </w:r>
          </w:p>
        </w:tc>
        <w:tc>
          <w:tcPr>
            <w:tcW w:type="dxa" w:w="4320"/>
          </w:tcPr>
          <w:p>
            <w:r>
              <w:t>File Notebook 48's bootstrap ratio/coherence-gap/AUC CIs, split-half severity-score PSI (0.0001), and both hard-gate KPI results (monotonicity=True, coherence=True) with the technique's annual governance packet; note this is a fitted composite score plus an empirical Markov transition matrix, not a trained classifier, so its governance review should assess policy-parameter and transition-matrix stability, not model retraining cadence. Currently RECOMMENDED for production.</w:t>
            </w:r>
          </w:p>
        </w:tc>
      </w:tr>
      <w:tr>
        <w:tc>
          <w:tcPr>
            <w:tcW w:type="dxa" w:w="4320"/>
          </w:tcPr>
          <w:p>
            <w:r>
              <w:t>Finance / Provisioning Team</w:t>
            </w:r>
          </w:p>
        </w:tc>
        <w:tc>
          <w:tcPr>
            <w:tcW w:type="dxa" w:w="4320"/>
          </w:tcPr>
          <w:p>
            <w:r>
              <w:t>Use the 933 escalation-flagged real defaulters to trigger SAME-CYCLE reserve-timing reviews on accounts whose delinquency severity tier just worsened -- this is a directly observed behavioral event, distinct from Problem 6's trained-model score or Problem 7's statistical deviation count -- coordinate with Problem 3's ECL work and Problem 4's tier-differentiated LGD for the $ reserve amount per escalated account (do not double-count against Problem 6/7's own reserve triggers for the same customer in the same cycle).</w:t>
            </w:r>
          </w:p>
        </w:tc>
      </w:tr>
      <w:tr>
        <w:tc>
          <w:tcPr>
            <w:tcW w:type="dxa" w:w="4320"/>
          </w:tcPr>
          <w:p>
            <w:r>
              <w:t>CFO / Executive Leadership</w:t>
            </w:r>
          </w:p>
        </w:tc>
        <w:tc>
          <w:tcPr>
            <w:tcW w:type="dxa" w:w="4320"/>
          </w:tcPr>
          <w:p>
            <w:r>
              <w:t>Approve the $40,000 investment given an estimated 0.1 months payback and 9,375% Year-1 ROI (net of estimated false-positive review cost) from monthly-equivalent escalation triage; note the deployment status is currently RECOMMENDED on this run because the transition coherence hard-gate KPI is met -- financial figures below are reported honestly regardless, per the platform's zero-fabrication standard, and should inform a go/no-go decision alongside the KPI result, not in place of it.</w:t>
            </w:r>
          </w:p>
        </w:tc>
      </w:tr>
    </w:tbl>
    <w:p>
      <w:pPr>
        <w:pStyle w:val="Heading1"/>
      </w:pPr>
      <w:r>
        <w:t>9. Assumptions &amp; Sources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Assumption</w:t>
            </w:r>
          </w:p>
        </w:tc>
        <w:tc>
          <w:tcPr>
            <w:tcW w:type="dxa" w:w="2880"/>
          </w:tcPr>
          <w:p>
            <w:r>
              <w:t>Value</w:t>
            </w:r>
          </w:p>
        </w:tc>
        <w:tc>
          <w:tcPr>
            <w:tcW w:type="dxa" w:w="2880"/>
          </w:tcPr>
          <w:p>
            <w:r>
              <w:t>Source</w:t>
            </w:r>
          </w:p>
        </w:tc>
      </w:tr>
      <w:tr>
        <w:tc>
          <w:tcPr>
            <w:tcW w:type="dxa" w:w="2880"/>
          </w:tcPr>
          <w:p>
            <w:r>
              <w:t>ead_per_account_usd</w:t>
            </w:r>
          </w:p>
        </w:tc>
        <w:tc>
          <w:tcPr>
            <w:tcW w:type="dxa" w:w="2880"/>
          </w:tcPr>
          <w:p>
            <w:r>
              <w:t>5000.0</w:t>
            </w:r>
          </w:p>
        </w:tc>
        <w:tc>
          <w:tcPr>
            <w:tcW w:type="dxa" w:w="2880"/>
          </w:tcPr>
          <w:p>
            <w:r>
              <w:t>Notebook 08 (inherited, real value read programmatically)</w:t>
            </w:r>
          </w:p>
        </w:tc>
      </w:tr>
      <w:tr>
        <w:tc>
          <w:tcPr>
            <w:tcW w:type="dxa" w:w="2880"/>
          </w:tcPr>
          <w:p>
            <w:r>
              <w:t>lgd_assumption</w:t>
            </w:r>
          </w:p>
        </w:tc>
        <w:tc>
          <w:tcPr>
            <w:tcW w:type="dxa" w:w="2880"/>
          </w:tcPr>
          <w:p>
            <w:r>
              <w:t>0.45</w:t>
            </w:r>
          </w:p>
        </w:tc>
        <w:tc>
          <w:tcPr>
            <w:tcW w:type="dxa" w:w="2880"/>
          </w:tcPr>
          <w:p>
            <w:r>
              <w:t>Notebook 08 (inherited, real value read programmatically)</w:t>
            </w:r>
          </w:p>
        </w:tc>
      </w:tr>
      <w:tr>
        <w:tc>
          <w:tcPr>
            <w:tcW w:type="dxa" w:w="2880"/>
          </w:tcPr>
          <w:p>
            <w:r>
              <w:t>escalation_intervention_success_rate</w:t>
            </w:r>
          </w:p>
        </w:tc>
        <w:tc>
          <w:tcPr>
            <w:tcW w:type="dxa" w:w="2880"/>
          </w:tcPr>
          <w:p>
            <w:r>
              <w:t>0.18</w:t>
            </w:r>
          </w:p>
        </w:tc>
        <w:tc>
          <w:tcPr>
            <w:tcW w:type="dxa" w:w="2880"/>
          </w:tcPr>
          <w:p>
            <w:r>
              <w:t>ASSUMPTION -- illustrative efficacy of a same-cycle collections outreach or credit-line action triggered when a customer's OBSERVED last transition moved to a strictly worse delinquency severity tier; set between Problem 7's 15% (a statistical z-score deviation, a lighter-touch signal) and Problem 6's 20% (a trained, calibrated PD model) because an observed roll-rate escalation is a realized behavioral event, not a probabilistic score, but is not as feature-rich as a fully trained supervised classifier -- edit to your institution's own outcome data.</w:t>
            </w:r>
          </w:p>
        </w:tc>
      </w:tr>
      <w:tr>
        <w:tc>
          <w:tcPr>
            <w:tcW w:type="dxa" w:w="2880"/>
          </w:tcPr>
          <w:p>
            <w:r>
              <w:t>false_positive_review_cost_usd</w:t>
            </w:r>
          </w:p>
        </w:tc>
        <w:tc>
          <w:tcPr>
            <w:tcW w:type="dxa" w:w="2880"/>
          </w:tcPr>
          <w:p>
            <w:r>
              <w:t>20.0</w:t>
            </w:r>
          </w:p>
        </w:tc>
        <w:tc>
          <w:tcPr>
            <w:tcW w:type="dxa" w:w="2880"/>
          </w:tcPr>
          <w:p>
            <w:r>
              <w:t>ASSUMPTION -- illustrative staff-time cost of a quick triage review on one escalated account this technique flags that does NOT go on to default -- set between Problem 7's $15 (single-deviation-count check) and Problem 6's $35 (full account re-underwrite), since reviewing an escalation requires checking the transition history across states, a bit more than a single flag but still short of a full re-underwrite; edit to your institution's actual cost.</w:t>
            </w:r>
          </w:p>
        </w:tc>
      </w:tr>
      <w:tr>
        <w:tc>
          <w:tcPr>
            <w:tcW w:type="dxa" w:w="2880"/>
          </w:tcPr>
          <w:p>
            <w:r>
              <w:t>implementation_cost_usd</w:t>
            </w:r>
          </w:p>
        </w:tc>
        <w:tc>
          <w:tcPr>
            <w:tcW w:type="dxa" w:w="2880"/>
          </w:tcPr>
          <w:p>
            <w:r>
              <w:t>40000.0</w:t>
            </w:r>
          </w:p>
        </w:tc>
        <w:tc>
          <w:tcPr>
            <w:tcW w:type="dxa" w:w="2880"/>
          </w:tcPr>
          <w:p>
            <w:r>
              <w:t>ASSUMPTION -- illustrative one-time build/validate/deploy cost for the real-time roll-rate scoring service and its transition-matrix monitoring; set between Problem 7's $30,000 (a stateless rule-based service) and Problem 6's $60,000 (a full model training/retraining pipeline), since this technique fits per-statement severity-score weights AND maintains an empirical transition matrix, but does not retrain a supervised classifier -- edit to your institution's actual project cost.</w:t>
            </w:r>
          </w:p>
        </w:tc>
      </w:tr>
      <w:tr>
        <w:tc>
          <w:tcPr>
            <w:tcW w:type="dxa" w:w="2880"/>
          </w:tcPr>
          <w:p>
            <w:r>
              <w:t>annual_application_cycles</w:t>
            </w:r>
          </w:p>
        </w:tc>
        <w:tc>
          <w:tcPr>
            <w:tcW w:type="dxa" w:w="2880"/>
          </w:tcPr>
          <w:p>
            <w:r>
              <w:t>12.0</w:t>
            </w:r>
          </w:p>
        </w:tc>
        <w:tc>
          <w:tcPr>
            <w:tcW w:type="dxa" w:w="2880"/>
          </w:tcPr>
          <w:p>
            <w:r>
              <w:t>ASSUMPTION -- monthly re-scoring cadence, matching Problems 6 and 7's own statement-driven, ongoing existing-book monitoring cadence; edit to your institution's actual cadence.</w:t>
            </w:r>
          </w:p>
        </w:tc>
      </w:tr>
    </w:tbl>
    <w:p>
      <w:pPr>
        <w:pStyle w:val="Heading1"/>
      </w:pPr>
      <w:r>
        <w:t>10. Final Recommendation, Deployment Status &amp; Phase 3 Close-Out</w:t>
      </w:r>
    </w:p>
    <w:p>
      <w:r>
        <w:t>Overall deployment status: RECOMMENDED FOR PRODUCTION. This technique clears both hard-gate KPIs, every statistical validation check, and the API self-test bar -- deploy per Notebook 48's deployment readiness checklist.</w:t>
      </w:r>
    </w:p>
    <w:p>
      <w:r>
        <w:t>This notebook completes Notebook 49 and, with it, Problem 8 (Roll-Rate Modeling) and all of Phase 3 (Behavioral Intelligence) -- Problems 6 (Dynamic Behavioral Scoring), 7 (Early Warning System), and 8 (Roll-Rate Modeling), 12 notebooks total (38-49). The platform now proceeds to Phase 4 (Operational Risk Management), starting with Problem 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Nandagopal R</dc:creator>
  <cp:keywords/>
  <dc:description>generated by python-docx</dc:description>
  <cp:lastModifiedBy>Nandagopal R</cp:lastModifiedBy>
  <cp:revision>1</cp:revision>
  <dcterms:created xsi:type="dcterms:W3CDTF">2013-12-23T23:15:00Z</dcterms:created>
  <dcterms:modified xsi:type="dcterms:W3CDTF">2013-12-23T23:15:00Z</dcterms:modified>
  <cp:category/>
</cp:coreProperties>
</file>