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3, Problem 6: Dynamic / Behavioral Credit Scoring -- Financial Impact Report</w:t>
      </w:r>
    </w:p>
    <w:p>
      <w:r>
        <w:t>Generated: 2026-08-25 12:12</w:t>
      </w:r>
    </w:p>
    <w:p>
      <w:pPr>
        <w:pStyle w:val="Heading1"/>
      </w:pPr>
      <w:r>
        <w:t>1. Executive Summary</w:t>
      </w:r>
    </w:p>
    <w:p>
      <w:r>
        <w:t>The trailing-window recency model (W=3, xgboost) validated in Notebooks 38-40 re-scores an EXISTING book using only a customer's most recent 3 statements, retaining 99.2% of the full-history model's real AUC. This model is currently RECOMMENDED for production. At the F1-optimal operating threshold on the real 89,569-customer holdout, this model correctly flags 19,337 of 23,062 real defaulters (83.8% capture) -- an exact, measured count, not an estimate -- alongside 5,988 false positives. At an ASSUMPTION 20% intervention success rate, net of an ASSUMPTION $35 per-false-positive review cost, this is estimated to net $8,491,170 of benefit per monthly scoring cycle, for an estimated 0.0 months payback on a $60,000 implementation investment.</w:t>
      </w:r>
    </w:p>
    <w:p>
      <w:pPr>
        <w:pStyle w:val="Heading1"/>
      </w:pPr>
      <w:r>
        <w:t>2. Real Recency-Detection Value: Population Flagged</w:t>
      </w:r>
    </w:p>
    <w:p>
      <w:r>
        <w:t>Every count in this section comes directly from Notebook 40's reproduced confusion matrix on the real holdout population -- exact, not derived or estimated.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Winning Trailing Window W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F1 Optimal Threshold</w:t>
            </w:r>
          </w:p>
        </w:tc>
        <w:tc>
          <w:tcPr>
            <w:tcW w:type="dxa" w:w="4320"/>
          </w:tcPr>
          <w:p>
            <w:r>
              <w:t>0.4109</w:t>
            </w:r>
          </w:p>
        </w:tc>
      </w:tr>
      <w:tr>
        <w:tc>
          <w:tcPr>
            <w:tcW w:type="dxa" w:w="4320"/>
          </w:tcPr>
          <w:p>
            <w:r>
              <w:t>Real Holdout Population</w:t>
            </w:r>
          </w:p>
        </w:tc>
        <w:tc>
          <w:tcPr>
            <w:tcW w:type="dxa" w:w="4320"/>
          </w:tcPr>
          <w:p>
            <w:r>
              <w:t>89,569</w:t>
            </w:r>
          </w:p>
        </w:tc>
      </w:tr>
      <w:tr>
        <w:tc>
          <w:tcPr>
            <w:tcW w:type="dxa" w:w="4320"/>
          </w:tcPr>
          <w:p>
            <w:r>
              <w:t>Real Holdout Defaulters</w:t>
            </w:r>
          </w:p>
        </w:tc>
        <w:tc>
          <w:tcPr>
            <w:tcW w:type="dxa" w:w="4320"/>
          </w:tcPr>
          <w:p>
            <w:r>
              <w:t>23,062</w:t>
            </w:r>
          </w:p>
        </w:tc>
      </w:tr>
      <w:tr>
        <w:tc>
          <w:tcPr>
            <w:tcW w:type="dxa" w:w="4320"/>
          </w:tcPr>
          <w:p>
            <w:r>
              <w:t>True Positives Flagged</w:t>
            </w:r>
          </w:p>
        </w:tc>
        <w:tc>
          <w:tcPr>
            <w:tcW w:type="dxa" w:w="4320"/>
          </w:tcPr>
          <w:p>
            <w:r>
              <w:t>19,337</w:t>
            </w:r>
          </w:p>
        </w:tc>
      </w:tr>
      <w:tr>
        <w:tc>
          <w:tcPr>
            <w:tcW w:type="dxa" w:w="4320"/>
          </w:tcPr>
          <w:p>
            <w:r>
              <w:t>False Positives Flagged</w:t>
            </w:r>
          </w:p>
        </w:tc>
        <w:tc>
          <w:tcPr>
            <w:tcW w:type="dxa" w:w="4320"/>
          </w:tcPr>
          <w:p>
            <w:r>
              <w:t>5,988</w:t>
            </w:r>
          </w:p>
        </w:tc>
      </w:tr>
      <w:tr>
        <w:tc>
          <w:tcPr>
            <w:tcW w:type="dxa" w:w="4320"/>
          </w:tcPr>
          <w:p>
            <w:r>
              <w:t>Real Defaulter Capture Rate</w:t>
            </w:r>
          </w:p>
        </w:tc>
        <w:tc>
          <w:tcPr>
            <w:tcW w:type="dxa" w:w="4320"/>
          </w:tcPr>
          <w:p>
            <w:r>
              <w:t>83.8%</w:t>
            </w:r>
          </w:p>
        </w:tc>
      </w:tr>
    </w:tbl>
    <w:p>
      <w:pPr>
        <w:pStyle w:val="Heading1"/>
      </w:pPr>
      <w:r>
        <w:t>3. Loss-Prevention Opportunity, Net of False-Positive Review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True Positives Flagged</w:t>
            </w:r>
          </w:p>
        </w:tc>
        <w:tc>
          <w:tcPr>
            <w:tcW w:type="dxa" w:w="4320"/>
          </w:tcPr>
          <w:p>
            <w:r>
              <w:t>19337</w:t>
            </w:r>
          </w:p>
        </w:tc>
      </w:tr>
      <w:tr>
        <w:tc>
          <w:tcPr>
            <w:tcW w:type="dxa" w:w="4320"/>
          </w:tcPr>
          <w:p>
            <w:r>
              <w:t>Intervention Success Rate Assumption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Preventable Defaults</w:t>
            </w:r>
          </w:p>
        </w:tc>
        <w:tc>
          <w:tcPr>
            <w:tcW w:type="dxa" w:w="4320"/>
          </w:tcPr>
          <w:p>
            <w:r>
              <w:t>3867</w:t>
            </w:r>
          </w:p>
        </w:tc>
      </w:tr>
      <w:tr>
        <w:tc>
          <w:tcPr>
            <w:tcW w:type="dxa" w:w="4320"/>
          </w:tcPr>
          <w:p>
            <w:r>
              <w:t>Gross Loss Prevented Per Cycle Usd</w:t>
            </w:r>
          </w:p>
        </w:tc>
        <w:tc>
          <w:tcPr>
            <w:tcW w:type="dxa" w:w="4320"/>
          </w:tcPr>
          <w:p>
            <w:r>
              <w:t>$8,700,750</w:t>
            </w:r>
          </w:p>
        </w:tc>
      </w:tr>
      <w:tr>
        <w:tc>
          <w:tcPr>
            <w:tcW w:type="dxa" w:w="4320"/>
          </w:tcPr>
          <w:p>
            <w:r>
              <w:t>False Positives Flagged</w:t>
            </w:r>
          </w:p>
        </w:tc>
        <w:tc>
          <w:tcPr>
            <w:tcW w:type="dxa" w:w="4320"/>
          </w:tcPr>
          <w:p>
            <w:r>
              <w:t>5988</w:t>
            </w:r>
          </w:p>
        </w:tc>
      </w:tr>
      <w:tr>
        <w:tc>
          <w:tcPr>
            <w:tcW w:type="dxa" w:w="4320"/>
          </w:tcPr>
          <w:p>
            <w:r>
              <w:t>False Positive Review Cost Per Account Assumption</w:t>
            </w:r>
          </w:p>
        </w:tc>
        <w:tc>
          <w:tcPr>
            <w:tcW w:type="dxa" w:w="4320"/>
          </w:tcPr>
          <w:p>
            <w:r>
              <w:t>$35</w:t>
            </w:r>
          </w:p>
        </w:tc>
      </w:tr>
      <w:tr>
        <w:tc>
          <w:tcPr>
            <w:tcW w:type="dxa" w:w="4320"/>
          </w:tcPr>
          <w:p>
            <w:r>
              <w:t>Total False Positive Review Cost Usd</w:t>
            </w:r>
          </w:p>
        </w:tc>
        <w:tc>
          <w:tcPr>
            <w:tcW w:type="dxa" w:w="4320"/>
          </w:tcPr>
          <w:p>
            <w:r>
              <w:t>$209,580</w:t>
            </w:r>
          </w:p>
        </w:tc>
      </w:tr>
      <w:tr>
        <w:tc>
          <w:tcPr>
            <w:tcW w:type="dxa" w:w="4320"/>
          </w:tcPr>
          <w:p>
            <w:r>
              <w:t>Net Benefit Per Cycle Usd</w:t>
            </w:r>
          </w:p>
        </w:tc>
        <w:tc>
          <w:tcPr>
            <w:tcW w:type="dxa" w:w="4320"/>
          </w:tcPr>
          <w:p>
            <w:r>
              <w:t>$8,491,170</w:t>
            </w:r>
          </w:p>
        </w:tc>
      </w:tr>
    </w:tbl>
    <w:p>
      <w:pPr>
        <w:pStyle w:val="Heading1"/>
      </w:pPr>
      <w:r>
        <w:t>4.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$60,000</w:t>
            </w:r>
          </w:p>
        </w:tc>
      </w:tr>
      <w:tr>
        <w:tc>
          <w:tcPr>
            <w:tcW w:type="dxa" w:w="4320"/>
          </w:tcPr>
          <w:p>
            <w:r>
              <w:t>Annual Net Benefit Usd</w:t>
            </w:r>
          </w:p>
        </w:tc>
        <w:tc>
          <w:tcPr>
            <w:tcW w:type="dxa" w:w="4320"/>
          </w:tcPr>
          <w:p>
            <w:r>
              <w:t>$101,894,040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169,723%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 months</w:t>
            </w:r>
          </w:p>
        </w:tc>
      </w:tr>
    </w:tbl>
    <w:p>
      <w:pPr>
        <w:pStyle w:val="Heading1"/>
      </w:pPr>
      <w:r>
        <w:t>5.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Behavioral Monitoring Ops / Frontline Risk Analysts</w:t>
            </w:r>
          </w:p>
        </w:tc>
        <w:tc>
          <w:tcPr>
            <w:tcW w:type="dxa" w:w="4320"/>
          </w:tcPr>
          <w:p>
            <w:r>
              <w:t>Work the 25,325-account flag list from the W=3 recency model (83.8% real defaulter capture at the F1-optimal threshold) each monthly re-scoring cycle -- this is an EXISTING-book monitoring signal, not a new-account screen, so route flags to account review, not new-application underwriting.</w:t>
            </w:r>
          </w:p>
        </w:tc>
      </w:tr>
      <w:tr>
        <w:tc>
          <w:tcPr>
            <w:tcW w:type="dxa" w:w="4320"/>
          </w:tcPr>
          <w:p>
            <w:r>
              <w:t>Portfolio Risk Team Lead</w:t>
            </w:r>
          </w:p>
        </w:tc>
        <w:tc>
          <w:tcPr>
            <w:tcW w:type="dxa" w:w="4320"/>
          </w:tcPr>
          <w:p>
            <w:r>
              <w:t>Track the 3,867-account behavioral-intervention goal (from the 20% ASSUMPTION success rate) and the 5,988 real false positives (review-cost exposure) as paired weekly KPIs -- both numbers came from the same real confusion matrix, so tightening the threshold trades one against the other.</w:t>
            </w:r>
          </w:p>
        </w:tc>
      </w:tr>
      <w:tr>
        <w:tc>
          <w:tcPr>
            <w:tcW w:type="dxa" w:w="4320"/>
          </w:tcPr>
          <w:p>
            <w:r>
              <w:t>Risk / Credit Analyst</w:t>
            </w:r>
          </w:p>
        </w:tc>
        <w:tc>
          <w:tcPr>
            <w:tcW w:type="dxa" w:w="4320"/>
          </w:tcPr>
          <w:p>
            <w:r>
              <w:t>Re-run this trailing-window scoring monthly as new statement data lands; monitor the split-half score PSI (Notebook 40 measured 0.0003) and the bootstrap AUC CI (last measured [0.9528, 0.9553]) -- re-validate if either drifts materially.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Notebook 40's bootstrap AUC/PR-AUC CIs, calibration gap (0.0037), and AUC-retention KPI result (MET) with the model's annual validation packet; this model is currently RECOMMENDED for production use, and is explicitly a RECENCY score complementary to Problem 1's full-history champion, not a replacement for it.</w:t>
            </w:r>
          </w:p>
        </w:tc>
      </w:tr>
      <w:tr>
        <w:tc>
          <w:tcPr>
            <w:tcW w:type="dxa" w:w="4320"/>
          </w:tcPr>
          <w:p>
            <w:r>
              <w:t>Finance / Provisioning Team</w:t>
            </w:r>
          </w:p>
        </w:tc>
        <w:tc>
          <w:tcPr>
            <w:tcW w:type="dxa" w:w="4320"/>
          </w:tcPr>
          <w:p>
            <w:r>
              <w:t>Use the 19,337 recency-flagged real defaulters to trigger early reserve-timing reviews on accounts whose FULL-HISTORY score may not yet reflect their recent deterioration -- coordinate with Problem 3's ECL work and Problem 4's tier-differentiated LGD for the $ reserve amount per flagged account.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$60,000 investment given an estimated 0.0 months payback and 169,723% Year-1 ROI (net of estimated false-positive review cost) from monthly behavioral re-scoring; revisit the 12x/year cadence ASSUMPTION at the next quarterly business review.</w:t>
            </w:r>
          </w:p>
        </w:tc>
      </w:tr>
    </w:tbl>
    <w:p>
      <w:pPr>
        <w:pStyle w:val="Heading1"/>
      </w:pPr>
      <w:r>
        <w:t>6.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lgd_assumption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behavioral_intervention_success_rate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ASSUMPTION -- illustrative efficacy of a recency-triggered intervention (credit-line reduction, proactive outreach, reserve pre-build) on an EXISTING account flagged by recent behavioral deterioration; edit to your institution's own outcome data.</w:t>
            </w:r>
          </w:p>
        </w:tc>
      </w:tr>
      <w:tr>
        <w:tc>
          <w:tcPr>
            <w:tcW w:type="dxa" w:w="2880"/>
          </w:tcPr>
          <w:p>
            <w:r>
              <w:t>false_positive_review_cost_usd</w:t>
            </w:r>
          </w:p>
        </w:tc>
        <w:tc>
          <w:tcPr>
            <w:tcW w:type="dxa" w:w="2880"/>
          </w:tcPr>
          <w:p>
            <w:r>
              <w:t>35.0</w:t>
            </w:r>
          </w:p>
        </w:tc>
        <w:tc>
          <w:tcPr>
            <w:tcW w:type="dxa" w:w="2880"/>
          </w:tcPr>
          <w:p>
            <w:r>
              <w:t>ASSUMPTION -- illustrative staff-time cost of manually reviewing one account the model flags that does NOT go on to default (a false positive at the F1-optimal threshold) -- unlike Problem 5's report, this one nets this cost against the loss-prevention benefit since Notebook 40's real confusion matrix makes the false-positive count directly measurable, not just the true-positive count.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60000.0</w:t>
            </w:r>
          </w:p>
        </w:tc>
        <w:tc>
          <w:tcPr>
            <w:tcW w:type="dxa" w:w="2880"/>
          </w:tcPr>
          <w:p>
            <w:r>
              <w:t>ASSUMPTION -- illustrative one-time build/validate/deploy cost for the dynamic/behavioral scoring service (data science + risk review time);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monthly re-scoring cadence, matching Notebook 38's original 'monthly refreshed PD' business framing for this problem (Problem 5's early-window model, by contrast, used a quarterly cadence -- these are different use cases: new-account screening vs. ongoing existing-book monitoring); edit to your institution's actual cadence.</w:t>
            </w:r>
          </w:p>
        </w:tc>
      </w:tr>
    </w:tbl>
    <w:p>
      <w:pPr>
        <w:pStyle w:val="Heading1"/>
      </w:pPr>
      <w:r>
        <w:t>7. Charts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lation_flagge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Population flagged at the F1-optimal threshold (real, exact counts)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_vs_early_compariso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Recent (Problem 6) vs. early (Problem 5) behavioral signal, same window length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