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AMEX Enterprise Credit Risk Platform</w:t>
      </w:r>
    </w:p>
    <w:p>
      <w:r>
        <w:t>Phase 3, Problem 7: Early Warning System -- Validation &amp; Deployment Report</w:t>
      </w:r>
    </w:p>
    <w:p>
      <w:r>
        <w:t>Generated: 2026-08-25 12:55</w:t>
      </w:r>
    </w:p>
    <w:p>
      <w:pPr>
        <w:pStyle w:val="Heading1"/>
      </w:pPr>
      <w:r>
        <w:t>1. Scope &amp; Selected Alert Threshold</w:t>
      </w:r>
    </w:p>
    <w:p>
      <w:r>
        <w:t>Statistical validation and deployment packaging for the rolling z-score early warning technique at MIN_DEVIATION_COUNT=8, selected from Notebook 43's real default-rate-lift sweep across candidates [1, 2, 3, 5, 8]. IMPORTANT: none of the tested candidates met Notebook 42's default-rate lift KPI on this real run -- this is the best-performing candidate (highest real lift), packaged for completeness, and is NOT RECOMMENDED FOR PRODUCTION until a future run finds a viable candidate.</w:t>
      </w:r>
    </w:p>
    <w:p>
      <w:pPr>
        <w:pStyle w:val="Heading1"/>
      </w:pPr>
      <w:r>
        <w:t>2. Full Classification Metrics-Suite Validation Summary</w:t>
      </w:r>
    </w:p>
    <w:p>
      <w:r>
        <w:t>Per the platform's standing metrics-suite directive (effective Problem 6 onward): every metric below is a real, measured value reproduced independently in this notebook, cross-checked against Notebook 43's originally-reported numbers (see Section 7-8's reproduction check).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Default-rate lift @ candidate=8 (reproduced)</w:t>
            </w:r>
          </w:p>
        </w:tc>
        <w:tc>
          <w:tcPr>
            <w:tcW w:type="dxa" w:w="2160"/>
          </w:tcPr>
          <w:p>
            <w:r>
              <w:t>1.408</w:t>
            </w:r>
          </w:p>
        </w:tc>
        <w:tc>
          <w:tcPr>
            <w:tcW w:type="dxa" w:w="2160"/>
          </w:tcPr>
          <w:p>
            <w:r>
              <w:t>&gt;=1.5x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</w:tr>
      <w:tr>
        <w:tc>
          <w:tcPr>
            <w:tcW w:type="dxa" w:w="2160"/>
          </w:tcPr>
          <w:p>
            <w:r>
              <w:t>Lift 95% CI lower bound</w:t>
            </w:r>
          </w:p>
        </w:tc>
        <w:tc>
          <w:tcPr>
            <w:tcW w:type="dxa" w:w="2160"/>
          </w:tcPr>
          <w:p>
            <w:r>
              <w:t>1.394</w:t>
            </w:r>
          </w:p>
        </w:tc>
        <w:tc>
          <w:tcPr>
            <w:tcW w:type="dxa" w:w="2160"/>
          </w:tcPr>
          <w:p>
            <w:r>
              <w:t>&gt;1.0x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ROC-AUC (reproduced, secondary)</w:t>
            </w:r>
          </w:p>
        </w:tc>
        <w:tc>
          <w:tcPr>
            <w:tcW w:type="dxa" w:w="2160"/>
          </w:tcPr>
          <w:p>
            <w:r>
              <w:t>0.6607</w:t>
            </w:r>
          </w:p>
        </w:tc>
        <w:tc>
          <w:tcPr>
            <w:tcW w:type="dxa" w:w="2160"/>
          </w:tcPr>
          <w:p>
            <w:r>
              <w:t>&gt;0.5 (reported)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ROC-AUC 95% CI lower bound</w:t>
            </w:r>
          </w:p>
        </w:tc>
        <w:tc>
          <w:tcPr>
            <w:tcW w:type="dxa" w:w="2160"/>
          </w:tcPr>
          <w:p>
            <w:r>
              <w:t>0.6566</w:t>
            </w:r>
          </w:p>
        </w:tc>
        <w:tc>
          <w:tcPr>
            <w:tcW w:type="dxa" w:w="2160"/>
          </w:tcPr>
          <w:p>
            <w:r>
              <w:t>&gt;0.5 (reported)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PR-AUC (reproduced, secondary)</w:t>
            </w:r>
          </w:p>
        </w:tc>
        <w:tc>
          <w:tcPr>
            <w:tcW w:type="dxa" w:w="2160"/>
          </w:tcPr>
          <w:p>
            <w:r>
              <w:t>0.4014</w:t>
            </w:r>
          </w:p>
        </w:tc>
        <w:tc>
          <w:tcPr>
            <w:tcW w:type="dxa" w:w="2160"/>
          </w:tcPr>
          <w:p>
            <w:r>
              <w:t>&gt;0.2562 (no-skill, reported)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Log Loss (reproduced, secondary)</w:t>
            </w:r>
          </w:p>
        </w:tc>
        <w:tc>
          <w:tcPr>
            <w:tcW w:type="dxa" w:w="2160"/>
          </w:tcPr>
          <w:p>
            <w:r>
              <w:t>0.6793</w:t>
            </w:r>
          </w:p>
        </w:tc>
        <w:tc>
          <w:tcPr>
            <w:tcW w:type="dxa" w:w="2160"/>
          </w:tcPr>
          <w:p>
            <w:r>
              <w:t>&lt;0.6931 (reported)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Accuracy @ candidate=8</w:t>
            </w:r>
          </w:p>
        </w:tc>
        <w:tc>
          <w:tcPr>
            <w:tcW w:type="dxa" w:w="2160"/>
          </w:tcPr>
          <w:p>
            <w:r>
              <w:t>0.625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Precision @ candidate=8</w:t>
            </w:r>
          </w:p>
        </w:tc>
        <w:tc>
          <w:tcPr>
            <w:tcW w:type="dxa" w:w="2160"/>
          </w:tcPr>
          <w:p>
            <w:r>
              <w:t>0.3606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Recall @ candidate=8</w:t>
            </w:r>
          </w:p>
        </w:tc>
        <w:tc>
          <w:tcPr>
            <w:tcW w:type="dxa" w:w="2160"/>
          </w:tcPr>
          <w:p>
            <w:r>
              <w:t>0.6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F1 @ candidate=8</w:t>
            </w:r>
          </w:p>
        </w:tc>
        <w:tc>
          <w:tcPr>
            <w:tcW w:type="dxa" w:w="2160"/>
          </w:tcPr>
          <w:p>
            <w:r>
              <w:t>0.4504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Specificity @ candidate=8</w:t>
            </w:r>
          </w:p>
        </w:tc>
        <w:tc>
          <w:tcPr>
            <w:tcW w:type="dxa" w:w="2160"/>
          </w:tcPr>
          <w:p>
            <w:r>
              <w:t>0.6336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MCC @ candidate=8</w:t>
            </w:r>
          </w:p>
        </w:tc>
        <w:tc>
          <w:tcPr>
            <w:tcW w:type="dxa" w:w="2160"/>
          </w:tcPr>
          <w:p>
            <w:r>
              <w:t>0.2062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Score-rank calibration monotonicity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Split-half score PSI</w:t>
            </w:r>
          </w:p>
        </w:tc>
        <w:tc>
          <w:tcPr>
            <w:tcW w:type="dxa" w:w="2160"/>
          </w:tcPr>
          <w:p>
            <w:r>
              <w:t>0.0002</w:t>
            </w:r>
          </w:p>
        </w:tc>
        <w:tc>
          <w:tcPr>
            <w:tcW w:type="dxa" w:w="2160"/>
          </w:tcPr>
          <w:p>
            <w:r>
              <w:t>&lt;0.1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Default-rate lift KPI (Notebook 42 target)</w:t>
            </w:r>
          </w:p>
        </w:tc>
        <w:tc>
          <w:tcPr>
            <w:tcW w:type="dxa" w:w="2160"/>
          </w:tcPr>
          <w:p>
            <w:r>
              <w:t>1.408</w:t>
            </w:r>
          </w:p>
        </w:tc>
        <w:tc>
          <w:tcPr>
            <w:tcW w:type="dxa" w:w="2160"/>
          </w:tcPr>
          <w:p>
            <w:r>
              <w:t>&gt;=1.5x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</w:tr>
    </w:tbl>
    <w:p>
      <w:pPr>
        <w:pStyle w:val="Heading1"/>
      </w:pPr>
      <w:r>
        <w:t>3. Honest Limitation -- Deployment Scope &amp; Assumptions</w:t>
      </w:r>
    </w:p>
    <w:p>
      <w:r>
        <w:t>Technique Scope: This is an unsupervised, rule-based statistical-process-control technique, NOT a trained classifier -- it flags a customer whose LATEST statement deviates from THEIR OWN recent baseline in enough monitored features at once. It complements Problem 6's trained recency model; it is not a replacement for it or for Problem 1's full-history champion.</w:t>
      </w:r>
    </w:p>
    <w:p>
      <w:r>
        <w:t>Kpi Status: DOES NOT MEET the &gt;=1.5x default-rate lift KPI set in Notebook 42 -- this is the best-performing candidate tested (highest real lift), packaged here for completeness and so validation/deployment tooling exists, but it is NOT RECOMMENDED FOR PRODUCTION USE until a future run either finds a viable candidate or the KPI target itself is revisited.</w:t>
      </w:r>
    </w:p>
    <w:p>
      <w:r>
        <w:t>Baseline Eligibility Limitation: Only customers with &gt;= 4 real statements can be monitored at all (Notebook 42 measured 96.3% real coverage) -- newer customers with a short history are honestly out of scope for this technique, not silently scored with a degenerate baseline.</w:t>
      </w:r>
    </w:p>
    <w:p>
      <w:r>
        <w:t>Small Alert Population Caveat: At the winning candidate (MIN_DEVIATION_COUNT=8), only 37,675 of 88,389 holdout customers (42.62%) are alerted -- the lift point estimate and its bootstrap CI above should both be read with this real sample size in mind; a small alerted population makes the lift estimate more sensitive to individual customers, which is exactly why the bootstrap CI (not just the point estimate) is reported.</w:t>
      </w:r>
    </w:p>
    <w:p>
      <w:r>
        <w:t>Feature Space Reuse Note: Reuses Problem 4/6's real, correlation-filtered base feature list (not a fresh selection) -- see Notebook 42 Section 4 for the recovery method.</w:t>
      </w:r>
    </w:p>
    <w:p>
      <w:pPr>
        <w:pStyle w:val="Heading1"/>
      </w:pPr>
      <w:r>
        <w:t>4. Deployment Readiness Checklist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Dimension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Notebook 43 reproduction (deterministic)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Winning candidate reproduction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Full statistical validation (all checks)</w:t>
            </w:r>
          </w:p>
        </w:tc>
        <w:tc>
          <w:tcPr>
            <w:tcW w:type="dxa" w:w="4320"/>
          </w:tcPr>
          <w:p>
            <w:r>
              <w:t>FAIL</w:t>
            </w:r>
          </w:p>
        </w:tc>
      </w:tr>
      <w:tr>
        <w:tc>
          <w:tcPr>
            <w:tcW w:type="dxa" w:w="4320"/>
          </w:tcPr>
          <w:p>
            <w:r>
              <w:t>Default-rate lift KPI (Notebook 42 target)</w:t>
            </w:r>
          </w:p>
        </w:tc>
        <w:tc>
          <w:tcPr>
            <w:tcW w:type="dxa" w:w="4320"/>
          </w:tcPr>
          <w:p>
            <w:r>
              <w:t>NOT MET</w:t>
            </w:r>
          </w:p>
        </w:tc>
      </w:tr>
      <w:tr>
        <w:tc>
          <w:tcPr>
            <w:tcW w:type="dxa" w:w="4320"/>
          </w:tcPr>
          <w:p>
            <w:r>
              <w:t>Deployment policy artifact persisted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API self-test (live, generated service, real customer)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API p99 latency &lt; 500ms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Overall recommendation</w:t>
            </w:r>
          </w:p>
        </w:tc>
        <w:tc>
          <w:tcPr>
            <w:tcW w:type="dxa" w:w="4320"/>
          </w:tcPr>
          <w:p>
            <w:r>
              <w:t>NOT RECOMMENDED FOR PRODUCTION</w:t>
            </w:r>
          </w:p>
        </w:tc>
      </w:tr>
    </w:tbl>
    <w:p>
      <w:pPr>
        <w:pStyle w:val="Heading1"/>
      </w:pPr>
      <w:r>
        <w:t>5. API Performance</w:t>
      </w:r>
    </w:p>
    <w:p>
      <w:r>
        <w:t>Latency over 150 real TestClient calls to /score (real customer statement history payload): p50=8.554ms, p95=33.703ms, p99=74.761ms, max=115.611ms.</w:t>
      </w:r>
    </w:p>
    <w:p>
      <w:pPr>
        <w:pStyle w:val="Heading1"/>
      </w:pPr>
      <w:r>
        <w:t>6. Charts</w:t>
      </w:r>
    </w:p>
    <w:p>
      <w:r>
        <w:drawing>
          <wp:inline xmlns:a="http://schemas.openxmlformats.org/drawingml/2006/main" xmlns:pic="http://schemas.openxmlformats.org/drawingml/2006/picture">
            <wp:extent cx="5486400" cy="35269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44_bootstrap_lift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6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Bootstrap distribution of default-rate lift at the selected candidate (2,000 resamples)</w:t>
      </w:r>
    </w:p>
    <w:p>
      <w:r>
        <w:drawing>
          <wp:inline xmlns:a="http://schemas.openxmlformats.org/drawingml/2006/main" xmlns:pic="http://schemas.openxmlformats.org/drawingml/2006/picture">
            <wp:extent cx="5486400" cy="35269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44_calibration_by_score_b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6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Score-rank calibration -- real holdout bins</w:t>
      </w:r>
    </w:p>
    <w:p>
      <w:r>
        <w:drawing>
          <wp:inline xmlns:a="http://schemas.openxmlformats.org/drawingml/2006/main" xmlns:pic="http://schemas.openxmlformats.org/drawingml/2006/picture">
            <wp:extent cx="5486400" cy="47026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43_roc_cur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02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ROC curve of the continuous EARLY_WARNING_SCORE (from Notebook 43)</w:t>
      </w:r>
    </w:p>
    <w:p>
      <w:r>
        <w:drawing>
          <wp:inline xmlns:a="http://schemas.openxmlformats.org/drawingml/2006/main" xmlns:pic="http://schemas.openxmlformats.org/drawingml/2006/picture">
            <wp:extent cx="5486400" cy="47026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43_pr_curv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02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Precision-Recall curve of the continuous EARLY_WARNING_SCORE (from Notebook 43)</w:t>
      </w:r>
    </w:p>
    <w:p>
      <w:r>
        <w:drawing>
          <wp:inline xmlns:a="http://schemas.openxmlformats.org/drawingml/2006/main" xmlns:pic="http://schemas.openxmlformats.org/drawingml/2006/picture">
            <wp:extent cx="5486400" cy="39188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43_lift_by_candida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18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Real default-rate lift by alert-threshold candidate (from Notebook 43)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