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AMEX Enterprise Credit Risk Platform</w:t>
      </w:r>
    </w:p>
    <w:p>
      <w:r>
        <w:t>Phase 3, Problem 8: Roll-Rate Modeling -- Validation &amp; Deployment Report</w:t>
      </w:r>
    </w:p>
    <w:p>
      <w:r>
        <w:t>Generated: 2026-08-25 16:48</w:t>
      </w:r>
    </w:p>
    <w:p>
      <w:pPr>
        <w:pStyle w:val="Heading1"/>
      </w:pPr>
      <w:r>
        <w:t>1. Scope &amp; Technique</w:t>
      </w:r>
    </w:p>
    <w:p>
      <w:r>
        <w:t>A Markov transition-probability matrix over a per-statement delinquency-severity score, reusing Problem 4's real feature universe and tier names but fitting fresh statement-level weights and cutpoints (Notebook 47). This notebook independently rebuilds Notebook 47's entire pipeline from scratch and confirms it reproduces byte-for-byte (zero randomness involved), then bootstraps confidence intervals on this problem's two real hard-gate KPIs. Both hard gates were met on this real run.</w:t>
      </w:r>
    </w:p>
    <w:p>
      <w:pPr>
        <w:pStyle w:val="Heading1"/>
      </w:pPr>
      <w:r>
        <w:t>2. Full Statistical Validation Summary</w:t>
      </w:r>
    </w:p>
    <w:p>
      <w:r>
        <w:t>Per the platform's standing metrics-suite directive (effective Problem 6 onward): every metric below is a real, measured value reproduced independently in this notebook, cross-checked against Notebook 47's originally-reported numbers (see Section 4's reproduction check).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Test</w:t>
            </w:r>
          </w:p>
        </w:tc>
        <w:tc>
          <w:tcPr>
            <w:tcW w:type="dxa" w:w="2160"/>
          </w:tcPr>
          <w:p>
            <w:r>
              <w:t>Value</w:t>
            </w:r>
          </w:p>
        </w:tc>
        <w:tc>
          <w:tcPr>
            <w:tcW w:type="dxa" w:w="2160"/>
          </w:tcPr>
          <w:p>
            <w:r>
              <w:t>Target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Severe/Low default-rate ratio (reproduced)</w:t>
            </w:r>
          </w:p>
        </w:tc>
        <w:tc>
          <w:tcPr>
            <w:tcW w:type="dxa" w:w="2160"/>
          </w:tcPr>
          <w:p>
            <w:r>
              <w:t>107.214</w:t>
            </w:r>
          </w:p>
        </w:tc>
        <w:tc>
          <w:tcPr>
            <w:tcW w:type="dxa" w:w="2160"/>
          </w:tcPr>
          <w:p>
            <w:r>
              <w:t>&gt;=1.5x</w:t>
            </w:r>
          </w:p>
        </w:tc>
        <w:tc>
          <w:tcPr>
            <w:tcW w:type="dxa" w:w="2160"/>
          </w:tcPr>
          <w:p>
            <w:r>
              <w:t>True</w:t>
            </w:r>
          </w:p>
        </w:tc>
      </w:tr>
      <w:tr>
        <w:tc>
          <w:tcPr>
            <w:tcW w:type="dxa" w:w="2160"/>
          </w:tcPr>
          <w:p>
            <w:r>
              <w:t>Severe/Low ratio 95% CI lower bound</w:t>
            </w:r>
          </w:p>
        </w:tc>
        <w:tc>
          <w:tcPr>
            <w:tcW w:type="dxa" w:w="2160"/>
          </w:tcPr>
          <w:p>
            <w:r>
              <w:t>92.776</w:t>
            </w:r>
          </w:p>
        </w:tc>
        <w:tc>
          <w:tcPr>
            <w:tcW w:type="dxa" w:w="2160"/>
          </w:tcPr>
          <w:p>
            <w:r>
              <w:t>&gt;1.0 (no-effect)</w:t>
            </w:r>
          </w:p>
        </w:tc>
        <w:tc>
          <w:tcPr>
            <w:tcW w:type="dxa" w:w="2160"/>
          </w:tcPr>
          <w:p>
            <w:r>
              <w:t>True</w:t>
            </w:r>
          </w:p>
        </w:tc>
      </w:tr>
      <w:tr>
        <w:tc>
          <w:tcPr>
            <w:tcW w:type="dxa" w:w="2160"/>
          </w:tcPr>
          <w:p>
            <w:r>
              <w:t>Monotonic default rate Low &lt; Moderate &lt; Severe (reproduced)</w:t>
            </w:r>
          </w:p>
        </w:tc>
        <w:tc>
          <w:tcPr>
            <w:tcW w:type="dxa" w:w="2160"/>
          </w:tcPr>
          <w:p>
            <w:r>
              <w:t>True</w:t>
            </w:r>
          </w:p>
        </w:tc>
        <w:tc>
          <w:tcPr>
            <w:tcW w:type="dxa" w:w="2160"/>
          </w:tcPr>
          <w:p>
            <w:r>
              <w:t>True</w:t>
            </w:r>
          </w:p>
        </w:tc>
        <w:tc>
          <w:tcPr>
            <w:tcW w:type="dxa" w:w="2160"/>
          </w:tcPr>
          <w:p>
            <w:r>
              <w:t>True</w:t>
            </w:r>
          </w:p>
        </w:tc>
      </w:tr>
      <w:tr>
        <w:tc>
          <w:tcPr>
            <w:tcW w:type="dxa" w:w="2160"/>
          </w:tcPr>
          <w:p>
            <w:r>
              <w:t>Minimum tier population share (reproduced)</w:t>
            </w:r>
          </w:p>
        </w:tc>
        <w:tc>
          <w:tcPr>
            <w:tcW w:type="dxa" w:w="2160"/>
          </w:tcPr>
          <w:p>
            <w:r>
              <w:t>31.0</w:t>
            </w:r>
          </w:p>
        </w:tc>
        <w:tc>
          <w:tcPr>
            <w:tcW w:type="dxa" w:w="2160"/>
          </w:tcPr>
          <w:p>
            <w:r>
              <w:t>&gt;=15.0%</w:t>
            </w:r>
          </w:p>
        </w:tc>
        <w:tc>
          <w:tcPr>
            <w:tcW w:type="dxa" w:w="2160"/>
          </w:tcPr>
          <w:p>
            <w:r>
              <w:t>True</w:t>
            </w:r>
          </w:p>
        </w:tc>
      </w:tr>
      <w:tr>
        <w:tc>
          <w:tcPr>
            <w:tcW w:type="dxa" w:w="2160"/>
          </w:tcPr>
          <w:p>
            <w:r>
              <w:t>P(Severe -&gt; Severe) [persistence] (reproduced)</w:t>
            </w:r>
          </w:p>
        </w:tc>
        <w:tc>
          <w:tcPr>
            <w:tcW w:type="dxa" w:w="2160"/>
          </w:tcPr>
          <w:p>
            <w:r>
              <w:t>0.9558</w:t>
            </w:r>
          </w:p>
        </w:tc>
        <w:tc>
          <w:tcPr>
            <w:tcW w:type="dxa" w:w="2160"/>
          </w:tcPr>
          <w:p>
            <w:r>
              <w:t>reported</w:t>
            </w:r>
          </w:p>
        </w:tc>
        <w:tc>
          <w:tcPr>
            <w:tcW w:type="dxa" w:w="2160"/>
          </w:tcPr>
          <w:p>
            <w:r>
              <w:t>True</w:t>
            </w:r>
          </w:p>
        </w:tc>
      </w:tr>
      <w:tr>
        <w:tc>
          <w:tcPr>
            <w:tcW w:type="dxa" w:w="2160"/>
          </w:tcPr>
          <w:p>
            <w:r>
              <w:t>P(Low -&gt; Severe) [single-step jump] (reproduced)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reported</w:t>
            </w:r>
          </w:p>
        </w:tc>
        <w:tc>
          <w:tcPr>
            <w:tcW w:type="dxa" w:w="2160"/>
          </w:tcPr>
          <w:p>
            <w:r>
              <w:t>True</w:t>
            </w:r>
          </w:p>
        </w:tc>
      </w:tr>
      <w:tr>
        <w:tc>
          <w:tcPr>
            <w:tcW w:type="dxa" w:w="2160"/>
          </w:tcPr>
          <w:p>
            <w:r>
              <w:t>Coherence gap P(Sev-&gt;Sev) - P(Low-&gt;Sev) (reproduced)</w:t>
            </w:r>
          </w:p>
        </w:tc>
        <w:tc>
          <w:tcPr>
            <w:tcW w:type="dxa" w:w="2160"/>
          </w:tcPr>
          <w:p>
            <w:r>
              <w:t>0.9557</w:t>
            </w:r>
          </w:p>
        </w:tc>
        <w:tc>
          <w:tcPr>
            <w:tcW w:type="dxa" w:w="2160"/>
          </w:tcPr>
          <w:p>
            <w:r>
              <w:t>&gt;0.0</w:t>
            </w:r>
          </w:p>
        </w:tc>
        <w:tc>
          <w:tcPr>
            <w:tcW w:type="dxa" w:w="2160"/>
          </w:tcPr>
          <w:p>
            <w:r>
              <w:t>True</w:t>
            </w:r>
          </w:p>
        </w:tc>
      </w:tr>
      <w:tr>
        <w:tc>
          <w:tcPr>
            <w:tcW w:type="dxa" w:w="2160"/>
          </w:tcPr>
          <w:p>
            <w:r>
              <w:t>Coherence gap 95% CI lower bound</w:t>
            </w:r>
          </w:p>
        </w:tc>
        <w:tc>
          <w:tcPr>
            <w:tcW w:type="dxa" w:w="2160"/>
          </w:tcPr>
          <w:p>
            <w:r>
              <w:t>0.955</w:t>
            </w:r>
          </w:p>
        </w:tc>
        <w:tc>
          <w:tcPr>
            <w:tcW w:type="dxa" w:w="2160"/>
          </w:tcPr>
          <w:p>
            <w:r>
              <w:t>&gt;0.0 (no-effect)</w:t>
            </w:r>
          </w:p>
        </w:tc>
        <w:tc>
          <w:tcPr>
            <w:tcW w:type="dxa" w:w="2160"/>
          </w:tcPr>
          <w:p>
            <w:r>
              <w:t>True</w:t>
            </w:r>
          </w:p>
        </w:tc>
      </w:tr>
      <w:tr>
        <w:tc>
          <w:tcPr>
            <w:tcW w:type="dxa" w:w="2160"/>
          </w:tcPr>
          <w:p>
            <w:r>
              <w:t>Escalation-magnitude ROC-AUC (reproduced)</w:t>
            </w:r>
          </w:p>
        </w:tc>
        <w:tc>
          <w:tcPr>
            <w:tcW w:type="dxa" w:w="2160"/>
          </w:tcPr>
          <w:p>
            <w:r>
              <w:t>0.5126</w:t>
            </w:r>
          </w:p>
        </w:tc>
        <w:tc>
          <w:tcPr>
            <w:tcW w:type="dxa" w:w="2160"/>
          </w:tcPr>
          <w:p>
            <w:r>
              <w:t>&gt;0.5</w:t>
            </w:r>
          </w:p>
        </w:tc>
        <w:tc>
          <w:tcPr>
            <w:tcW w:type="dxa" w:w="2160"/>
          </w:tcPr>
          <w:p>
            <w:r>
              <w:t>True</w:t>
            </w:r>
          </w:p>
        </w:tc>
      </w:tr>
      <w:tr>
        <w:tc>
          <w:tcPr>
            <w:tcW w:type="dxa" w:w="2160"/>
          </w:tcPr>
          <w:p>
            <w:r>
              <w:t>Escalation-magnitude ROC-AUC 95% CI lower bound</w:t>
            </w:r>
          </w:p>
        </w:tc>
        <w:tc>
          <w:tcPr>
            <w:tcW w:type="dxa" w:w="2160"/>
          </w:tcPr>
          <w:p>
            <w:r>
              <w:t>0.5109</w:t>
            </w:r>
          </w:p>
        </w:tc>
        <w:tc>
          <w:tcPr>
            <w:tcW w:type="dxa" w:w="2160"/>
          </w:tcPr>
          <w:p>
            <w:r>
              <w:t>&gt;0.5 (random)</w:t>
            </w:r>
          </w:p>
        </w:tc>
        <w:tc>
          <w:tcPr>
            <w:tcW w:type="dxa" w:w="2160"/>
          </w:tcPr>
          <w:p>
            <w:r>
              <w:t>True</w:t>
            </w:r>
          </w:p>
        </w:tc>
      </w:tr>
      <w:tr>
        <w:tc>
          <w:tcPr>
            <w:tcW w:type="dxa" w:w="2160"/>
          </w:tcPr>
          <w:p>
            <w:r>
              <w:t>Escalation-magnitude PR-AUC (reproduced)</w:t>
            </w:r>
          </w:p>
        </w:tc>
        <w:tc>
          <w:tcPr>
            <w:tcW w:type="dxa" w:w="2160"/>
          </w:tcPr>
          <w:p>
            <w:r>
              <w:t>0.2635</w:t>
            </w:r>
          </w:p>
        </w:tc>
        <w:tc>
          <w:tcPr>
            <w:tcW w:type="dxa" w:w="2160"/>
          </w:tcPr>
          <w:p>
            <w:r>
              <w:t>&gt;0.2584 (no-skill)</w:t>
            </w:r>
          </w:p>
        </w:tc>
        <w:tc>
          <w:tcPr>
            <w:tcW w:type="dxa" w:w="2160"/>
          </w:tcPr>
          <w:p>
            <w:r>
              <w:t>True</w:t>
            </w:r>
          </w:p>
        </w:tc>
      </w:tr>
      <w:tr>
        <w:tc>
          <w:tcPr>
            <w:tcW w:type="dxa" w:w="2160"/>
          </w:tcPr>
          <w:p>
            <w:r>
              <w:t>Escalation-magnitude PR-AUC 95% CI lower bound</w:t>
            </w:r>
          </w:p>
        </w:tc>
        <w:tc>
          <w:tcPr>
            <w:tcW w:type="dxa" w:w="2160"/>
          </w:tcPr>
          <w:p>
            <w:r>
              <w:t>0.2608</w:t>
            </w:r>
          </w:p>
        </w:tc>
        <w:tc>
          <w:tcPr>
            <w:tcW w:type="dxa" w:w="2160"/>
          </w:tcPr>
          <w:p>
            <w:r>
              <w:t>&gt;0.2584 (no-skill)</w:t>
            </w:r>
          </w:p>
        </w:tc>
        <w:tc>
          <w:tcPr>
            <w:tcW w:type="dxa" w:w="2160"/>
          </w:tcPr>
          <w:p>
            <w:r>
              <w:t>True</w:t>
            </w:r>
          </w:p>
        </w:tc>
      </w:tr>
      <w:tr>
        <w:tc>
          <w:tcPr>
            <w:tcW w:type="dxa" w:w="2160"/>
          </w:tcPr>
          <w:p>
            <w:r>
              <w:t>Split-half severity-score PSI</w:t>
            </w:r>
          </w:p>
        </w:tc>
        <w:tc>
          <w:tcPr>
            <w:tcW w:type="dxa" w:w="2160"/>
          </w:tcPr>
          <w:p>
            <w:r>
              <w:t>0.0001</w:t>
            </w:r>
          </w:p>
        </w:tc>
        <w:tc>
          <w:tcPr>
            <w:tcW w:type="dxa" w:w="2160"/>
          </w:tcPr>
          <w:p>
            <w:r>
              <w:t>&lt;0.1</w:t>
            </w:r>
          </w:p>
        </w:tc>
        <w:tc>
          <w:tcPr>
            <w:tcW w:type="dxa" w:w="2160"/>
          </w:tcPr>
          <w:p>
            <w:r>
              <w:t>True</w:t>
            </w:r>
          </w:p>
        </w:tc>
      </w:tr>
    </w:tbl>
    <w:p>
      <w:pPr>
        <w:pStyle w:val="Heading1"/>
      </w:pPr>
      <w:r>
        <w:t>3. Honest Limitation -- Deployment Scope &amp; Assumptions</w:t>
      </w:r>
    </w:p>
    <w:p>
      <w:r>
        <w:t>Technique Scope: This is a Markov transition-probability matrix over a per-STATEMENT severity score, NOT a trained classifier -- there is no model to overfit or drift in the usual sense; the deployable artifact is a fitted set of composite-score weights, two tertile cutpoints, and an empirical 3x3 transition matrix, all frozen at TRAIN-fit time.</w:t>
      </w:r>
    </w:p>
    <w:p>
      <w:r>
        <w:t>Kpi Status: Meets BOTH real hard gates (monotonicity ratio 107.21x &gt;= 1.5x, and coherence P(Severe-&gt;Severe)=0.956 &gt; P(Low-&gt;Severe)=0.000).</w:t>
      </w:r>
    </w:p>
    <w:p>
      <w:r>
        <w:t>Coherence Kpi Caveat: The coherence gate passed on this run -- persistence in the Severe state genuinely exceeds the single-step jump probability from the Low state.</w:t>
      </w:r>
    </w:p>
    <w:p>
      <w:r>
        <w:t>Feature And Label Provenance: Monitored feature universe reused from Problem 4's real, already-vetted severity-scoring bundle (Notebook 28) -- the FEATURE UNIVERSE only, not Problem 4's customer-level fitted weights, which would not match this problem's statement-level population (documented in Notebook 46). Composite score weights/cutpoints are fit fresh on TRAIN statements in this pipeline's own Section 4.</w:t>
      </w:r>
    </w:p>
    <w:p>
      <w:r>
        <w:t>Problem 6 Stratification Caveat: Notebook 47's Problem 6 covariate stratification is EXPLORATORY ONLY and is not independently re-verified in this notebook (its own build already duplicates a large amount of Problem 6 logic; re-running it again here would not add a genuine reproducibility signal beyond what Notebook 47 already established). Problem 6's own honest recommendation status (recommended_for_production=True) is carried through unchanged -- this stratification result should not be read as validating Problem 6's model.</w:t>
      </w:r>
    </w:p>
    <w:p>
      <w:r>
        <w:t>Bootstrap Caveat: The coherence-gap and ratio bootstrap CIs resample transition pairs / latest-state customers independently, without block-resampling by customer -- a customer contributing multiple transition pairs is not kept together across a resample. This is the same simple i.i.d. bootstrap convention every prior notebook in this platform uses (no block-bootstrap-by-customer precedent exists yet); it understates the true CI width to the extent transition pairs from the same customer are correlated, a known simplification, not a fabricated fix.</w:t>
      </w:r>
    </w:p>
    <w:p>
      <w:pPr>
        <w:pStyle w:val="Heading1"/>
      </w:pPr>
      <w:r>
        <w:t>4. Deployment Readiness Checklist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Dimension</w:t>
            </w:r>
          </w:p>
        </w:tc>
        <w:tc>
          <w:tcPr>
            <w:tcW w:type="dxa" w:w="4320"/>
          </w:tcPr>
          <w:p>
            <w:r>
              <w:t>Status</w:t>
            </w:r>
          </w:p>
        </w:tc>
      </w:tr>
      <w:tr>
        <w:tc>
          <w:tcPr>
            <w:tcW w:type="dxa" w:w="4320"/>
          </w:tcPr>
          <w:p>
            <w:r>
              <w:t>Notebook 47 reproduction (zero-randomness pipeline)</w:t>
            </w:r>
          </w:p>
        </w:tc>
        <w:tc>
          <w:tcPr>
            <w:tcW w:type="dxa" w:w="4320"/>
          </w:tcPr>
          <w:p>
            <w:r>
              <w:t>PASS</w:t>
            </w:r>
          </w:p>
        </w:tc>
      </w:tr>
      <w:tr>
        <w:tc>
          <w:tcPr>
            <w:tcW w:type="dxa" w:w="4320"/>
          </w:tcPr>
          <w:p>
            <w:r>
              <w:t>Monotonicity KPI (Notebook 46 target)</w:t>
            </w:r>
          </w:p>
        </w:tc>
        <w:tc>
          <w:tcPr>
            <w:tcW w:type="dxa" w:w="4320"/>
          </w:tcPr>
          <w:p>
            <w:r>
              <w:t>MET</w:t>
            </w:r>
          </w:p>
        </w:tc>
      </w:tr>
      <w:tr>
        <w:tc>
          <w:tcPr>
            <w:tcW w:type="dxa" w:w="4320"/>
          </w:tcPr>
          <w:p>
            <w:r>
              <w:t>Coherence KPI (Notebook 46 target)</w:t>
            </w:r>
          </w:p>
        </w:tc>
        <w:tc>
          <w:tcPr>
            <w:tcW w:type="dxa" w:w="4320"/>
          </w:tcPr>
          <w:p>
            <w:r>
              <w:t>MET</w:t>
            </w:r>
          </w:p>
        </w:tc>
      </w:tr>
      <w:tr>
        <w:tc>
          <w:tcPr>
            <w:tcW w:type="dxa" w:w="4320"/>
          </w:tcPr>
          <w:p>
            <w:r>
              <w:t>Full metrics-suite statistical validation (all checks)</w:t>
            </w:r>
          </w:p>
        </w:tc>
        <w:tc>
          <w:tcPr>
            <w:tcW w:type="dxa" w:w="4320"/>
          </w:tcPr>
          <w:p>
            <w:r>
              <w:t>PASS</w:t>
            </w:r>
          </w:p>
        </w:tc>
      </w:tr>
      <w:tr>
        <w:tc>
          <w:tcPr>
            <w:tcW w:type="dxa" w:w="4320"/>
          </w:tcPr>
          <w:p>
            <w:r>
              <w:t>Deployment policy artifact persisted</w:t>
            </w:r>
          </w:p>
        </w:tc>
        <w:tc>
          <w:tcPr>
            <w:tcW w:type="dxa" w:w="4320"/>
          </w:tcPr>
          <w:p>
            <w:r>
              <w:t>PASS</w:t>
            </w:r>
          </w:p>
        </w:tc>
      </w:tr>
      <w:tr>
        <w:tc>
          <w:tcPr>
            <w:tcW w:type="dxa" w:w="4320"/>
          </w:tcPr>
          <w:p>
            <w:r>
              <w:t>API self-test (live, generated service)</w:t>
            </w:r>
          </w:p>
        </w:tc>
        <w:tc>
          <w:tcPr>
            <w:tcW w:type="dxa" w:w="4320"/>
          </w:tcPr>
          <w:p>
            <w:r>
              <w:t>PASS</w:t>
            </w:r>
          </w:p>
        </w:tc>
      </w:tr>
      <w:tr>
        <w:tc>
          <w:tcPr>
            <w:tcW w:type="dxa" w:w="4320"/>
          </w:tcPr>
          <w:p>
            <w:r>
              <w:t>API p99 latency &lt; 500ms</w:t>
            </w:r>
          </w:p>
        </w:tc>
        <w:tc>
          <w:tcPr>
            <w:tcW w:type="dxa" w:w="4320"/>
          </w:tcPr>
          <w:p>
            <w:r>
              <w:t>PASS</w:t>
            </w:r>
          </w:p>
        </w:tc>
      </w:tr>
      <w:tr>
        <w:tc>
          <w:tcPr>
            <w:tcW w:type="dxa" w:w="4320"/>
          </w:tcPr>
          <w:p>
            <w:r>
              <w:t>Overall recommendation</w:t>
            </w:r>
          </w:p>
        </w:tc>
        <w:tc>
          <w:tcPr>
            <w:tcW w:type="dxa" w:w="4320"/>
          </w:tcPr>
          <w:p>
            <w:r>
              <w:t>RECOMMENDED FOR PRODUCTION</w:t>
            </w:r>
          </w:p>
        </w:tc>
      </w:tr>
    </w:tbl>
    <w:p>
      <w:pPr>
        <w:pStyle w:val="Heading1"/>
      </w:pPr>
      <w:r>
        <w:t>5. API Performance</w:t>
      </w:r>
    </w:p>
    <w:p>
      <w:r>
        <w:t>Latency over 150 real TestClient calls to /score: p50=5.322ms, p95=11.086ms, p99=21.487ms, max=63.055ms.</w:t>
      </w:r>
    </w:p>
    <w:p>
      <w:pPr>
        <w:pStyle w:val="Heading1"/>
      </w:pPr>
      <w:r>
        <w:t>6. Charts</w:t>
      </w:r>
    </w:p>
    <w:p>
      <w:r>
        <w:drawing>
          <wp:inline xmlns:a="http://schemas.openxmlformats.org/drawingml/2006/main" xmlns:pic="http://schemas.openxmlformats.org/drawingml/2006/picture">
            <wp:extent cx="5486400" cy="352697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tebook_48_bootstrap_ratio_distributi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269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Bootstrap distribution -- monotonicity ratio (primary KPI)</w:t>
      </w:r>
    </w:p>
    <w:p>
      <w:r>
        <w:drawing>
          <wp:inline xmlns:a="http://schemas.openxmlformats.org/drawingml/2006/main" xmlns:pic="http://schemas.openxmlformats.org/drawingml/2006/picture">
            <wp:extent cx="5486400" cy="352697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tebook_48_bootstrap_coherence_gap_distributi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269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Bootstrap distribution -- transition coherence gap (second hard-gate KPI)</w:t>
      </w:r>
    </w:p>
    <w:p>
      <w:r>
        <w:drawing>
          <wp:inline xmlns:a="http://schemas.openxmlformats.org/drawingml/2006/main" xmlns:pic="http://schemas.openxmlformats.org/drawingml/2006/picture">
            <wp:extent cx="5486400" cy="352697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tebook_48_transition_matrix_heatmap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269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Real empirical transition-probability matrix (reproduced)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