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PROBLEM 10: STRESS TESTING &amp; SCENARIO ANALYSIS</w:t>
      </w:r>
    </w:p>
    <w:p>
      <w:pPr>
        <w:pStyle w:val="Heading2"/>
        <w:jc w:val="center"/>
      </w:pPr>
      <w:r>
        <w:t>Enterprise Risk Assessment Report</w:t>
      </w:r>
    </w:p>
    <w:p>
      <w:pPr>
        <w:jc w:val="center"/>
      </w:pPr>
      <w:r>
        <w:t>Report Generated: 2026-07-27 13:28:54</w:t>
      </w:r>
    </w:p>
    <w:p>
      <w:pPr>
        <w:pStyle w:val="Heading1"/>
      </w:pPr>
      <w:r>
        <w:t>Executive Summary</w:t>
      </w:r>
    </w:p>
    <w:p>
      <w:r>
        <w:br/>
        <w:t>This report presents a comprehensive stress testing and sensitivity analysis of the portfolio. The analysis covers 6 economic scenarios and 4 risk factor sensitivities to evaluate portfolio resilience.</w:t>
        <w:br/>
        <w:br/>
        <w:t>KEY FINDINGS:</w:t>
        <w:br/>
        <w:t>- Base Case Default Rate: 7.99%</w:t>
        <w:br/>
        <w:t>- Base Case ECL: $88,837,588</w:t>
        <w:br/>
        <w:t>- Model AUC: 0.9783</w:t>
        <w:br/>
        <w:t>- Data Sources: application_train.csv + Loan_Default.csv (148,670 records)</w:t>
        <w:br/>
        <w:br/>
        <w:t>RISK ASSESSMENT:</w:t>
        <w:br/>
        <w:t>The portfolio shows moderate resilience to economic shocks, with default rates remaining within 7.97%-8.05% across all tested scenarios. However, immediate action is recommended on DTI management and income verification protocols.</w:t>
        <w:br/>
        <w:t xml:space="preserve">        </w:t>
      </w:r>
    </w:p>
    <w:p>
      <w:pPr>
        <w:pStyle w:val="Heading1"/>
      </w:pPr>
      <w:r>
        <w:t>Stress Test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Default Rate</w:t>
            </w:r>
          </w:p>
        </w:tc>
        <w:tc>
          <w:tcPr>
            <w:tcW w:type="dxa" w:w="2160"/>
          </w:tcPr>
          <w:p>
            <w:r>
              <w:t>ECL</w:t>
            </w:r>
          </w:p>
        </w:tc>
        <w:tc>
          <w:tcPr>
            <w:tcW w:type="dxa" w:w="2160"/>
          </w:tcPr>
          <w:p>
            <w:r>
              <w:t>Change vs Base</w:t>
            </w:r>
          </w:p>
        </w:tc>
      </w:tr>
      <w:tr>
        <w:tc>
          <w:tcPr>
            <w:tcW w:type="dxa" w:w="2160"/>
          </w:tcPr>
          <w:p>
            <w:r>
              <w:t>Base Case</w:t>
            </w:r>
          </w:p>
        </w:tc>
        <w:tc>
          <w:tcPr>
            <w:tcW w:type="dxa" w:w="2160"/>
          </w:tcPr>
          <w:p>
            <w:r>
              <w:t>7.99%</w:t>
            </w:r>
          </w:p>
        </w:tc>
        <w:tc>
          <w:tcPr>
            <w:tcW w:type="dxa" w:w="2160"/>
          </w:tcPr>
          <w:p>
            <w:r>
              <w:t>$88,837,588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</w:tr>
      <w:tr>
        <w:tc>
          <w:tcPr>
            <w:tcW w:type="dxa" w:w="2160"/>
          </w:tcPr>
          <w:p>
            <w:r>
              <w:t>Mild Recession</w:t>
            </w:r>
          </w:p>
        </w:tc>
        <w:tc>
          <w:tcPr>
            <w:tcW w:type="dxa" w:w="2160"/>
          </w:tcPr>
          <w:p>
            <w:r>
              <w:t>7.03%</w:t>
            </w:r>
          </w:p>
        </w:tc>
        <w:tc>
          <w:tcPr>
            <w:tcW w:type="dxa" w:w="2160"/>
          </w:tcPr>
          <w:p>
            <w:r>
              <w:t>$79,639,269</w:t>
            </w:r>
          </w:p>
        </w:tc>
        <w:tc>
          <w:tcPr>
            <w:tcW w:type="dxa" w:w="2160"/>
          </w:tcPr>
          <w:p>
            <w:r>
              <w:t>-10.4%</w:t>
            </w:r>
          </w:p>
        </w:tc>
      </w:tr>
      <w:tr>
        <w:tc>
          <w:tcPr>
            <w:tcW w:type="dxa" w:w="2160"/>
          </w:tcPr>
          <w:p>
            <w:r>
              <w:t>Moderate Recession</w:t>
            </w:r>
          </w:p>
        </w:tc>
        <w:tc>
          <w:tcPr>
            <w:tcW w:type="dxa" w:w="2160"/>
          </w:tcPr>
          <w:p>
            <w:r>
              <w:t>6.92%</w:t>
            </w:r>
          </w:p>
        </w:tc>
        <w:tc>
          <w:tcPr>
            <w:tcW w:type="dxa" w:w="2160"/>
          </w:tcPr>
          <w:p>
            <w:r>
              <w:t>$78,541,241</w:t>
            </w:r>
          </w:p>
        </w:tc>
        <w:tc>
          <w:tcPr>
            <w:tcW w:type="dxa" w:w="2160"/>
          </w:tcPr>
          <w:p>
            <w:r>
              <w:t>-11.6%</w:t>
            </w:r>
          </w:p>
        </w:tc>
      </w:tr>
      <w:tr>
        <w:tc>
          <w:tcPr>
            <w:tcW w:type="dxa" w:w="2160"/>
          </w:tcPr>
          <w:p>
            <w:r>
              <w:t>Severe Recession</w:t>
            </w:r>
          </w:p>
        </w:tc>
        <w:tc>
          <w:tcPr>
            <w:tcW w:type="dxa" w:w="2160"/>
          </w:tcPr>
          <w:p>
            <w:r>
              <w:t>6.79%</w:t>
            </w:r>
          </w:p>
        </w:tc>
        <w:tc>
          <w:tcPr>
            <w:tcW w:type="dxa" w:w="2160"/>
          </w:tcPr>
          <w:p>
            <w:r>
              <w:t>$76,841,266</w:t>
            </w:r>
          </w:p>
        </w:tc>
        <w:tc>
          <w:tcPr>
            <w:tcW w:type="dxa" w:w="2160"/>
          </w:tcPr>
          <w:p>
            <w:r>
              <w:t>-13.5%</w:t>
            </w:r>
          </w:p>
        </w:tc>
      </w:tr>
      <w:tr>
        <w:tc>
          <w:tcPr>
            <w:tcW w:type="dxa" w:w="2160"/>
          </w:tcPr>
          <w:p>
            <w:r>
              <w:t>Financial Crisis</w:t>
            </w:r>
          </w:p>
        </w:tc>
        <w:tc>
          <w:tcPr>
            <w:tcW w:type="dxa" w:w="2160"/>
          </w:tcPr>
          <w:p>
            <w:r>
              <w:t>6.80%</w:t>
            </w:r>
          </w:p>
        </w:tc>
        <w:tc>
          <w:tcPr>
            <w:tcW w:type="dxa" w:w="2160"/>
          </w:tcPr>
          <w:p>
            <w:r>
              <w:t>$77,358,311</w:t>
            </w:r>
          </w:p>
        </w:tc>
        <w:tc>
          <w:tcPr>
            <w:tcW w:type="dxa" w:w="2160"/>
          </w:tcPr>
          <w:p>
            <w:r>
              <w:t>-12.9%</w:t>
            </w:r>
          </w:p>
        </w:tc>
      </w:tr>
      <w:tr>
        <w:tc>
          <w:tcPr>
            <w:tcW w:type="dxa" w:w="2160"/>
          </w:tcPr>
          <w:p>
            <w:r>
              <w:t>Depression Scenario</w:t>
            </w:r>
          </w:p>
        </w:tc>
        <w:tc>
          <w:tcPr>
            <w:tcW w:type="dxa" w:w="2160"/>
          </w:tcPr>
          <w:p>
            <w:r>
              <w:t>6.98%</w:t>
            </w:r>
          </w:p>
        </w:tc>
        <w:tc>
          <w:tcPr>
            <w:tcW w:type="dxa" w:w="2160"/>
          </w:tcPr>
          <w:p>
            <w:r>
              <w:t>$78,898,591</w:t>
            </w:r>
          </w:p>
        </w:tc>
        <w:tc>
          <w:tcPr>
            <w:tcW w:type="dxa" w:w="2160"/>
          </w:tcPr>
          <w:p>
            <w:r>
              <w:t>-11.2%</w:t>
            </w:r>
          </w:p>
        </w:tc>
      </w:tr>
    </w:tbl>
    <w:p>
      <w:r>
        <w:t>Scenario Analysis Chart:</w:t>
      </w:r>
    </w:p>
    <w:p>
      <w:r>
        <w:drawing>
          <wp:inline xmlns:a="http://schemas.openxmlformats.org/drawingml/2006/main" xmlns:pic="http://schemas.openxmlformats.org/drawingml/2006/picture">
            <wp:extent cx="5486400" cy="1937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analysi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7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Sensitivity Analysis</w:t>
      </w:r>
    </w:p>
    <w:p>
      <w:r>
        <w:t>The portfolio shows strong sensitivity to DTI and employment tenure changes, while showing lower sensitivity to income and credit score variations.</w:t>
      </w:r>
    </w:p>
    <w:p>
      <w:r>
        <w:drawing>
          <wp:inline xmlns:a="http://schemas.openxmlformats.org/drawingml/2006/main" xmlns:pic="http://schemas.openxmlformats.org/drawingml/2006/picture">
            <wp:extent cx="5486400" cy="39049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_analysis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4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SMART Recommendations</w:t>
      </w:r>
    </w:p>
    <w:p>
      <w:pPr>
        <w:pStyle w:val="Heading2"/>
      </w:pPr>
      <w:r>
        <w:t>HIGH: Implement Income Verification Protocols</w:t>
      </w:r>
    </w:p>
    <w:p>
      <w:r>
        <w:t>Category: Risk Management</w:t>
      </w:r>
    </w:p>
    <w:p>
      <w:r>
        <w:t>Specific: Income changes show 0.2% sensitivity to default rates. Establish quarterly income verification for accounts with income levels in bottom 25% percentile.</w:t>
      </w:r>
    </w:p>
    <w:p>
      <w:r>
        <w:t>Measurable: Reduce income-related defaults by 15% within 6 months</w:t>
      </w:r>
    </w:p>
    <w:p>
      <w:r>
        <w:t>Achievable: Deploy automated income verification through employer databases</w:t>
      </w:r>
    </w:p>
    <w:p>
      <w:r>
        <w:t>Relevant: Critical for portfolio stability during economic downturns</w:t>
      </w:r>
    </w:p>
    <w:p>
      <w:r>
        <w:t>Timeline: 30 days to implement, 90 days to measure impact</w:t>
      </w:r>
    </w:p>
    <w:p>
      <w:pPr>
        <w:pStyle w:val="ListBullet"/>
      </w:pPr>
      <w:r>
        <w:t>Estimated Impact: $13,325,638</w:t>
      </w:r>
    </w:p>
    <w:p/>
    <w:p>
      <w:pPr>
        <w:pStyle w:val="Heading2"/>
      </w:pPr>
      <w:r>
        <w:t>HIGH: Strengthen DTI Ratio Requirements</w:t>
      </w:r>
    </w:p>
    <w:p>
      <w:r>
        <w:t>Category: Credit Policy</w:t>
      </w:r>
    </w:p>
    <w:p>
      <w:r>
        <w:t>Specific: DTI elasticity shows 0.4% sensitivity. Reduce maximum DTI allowance from current levels to 45% for new originations.</w:t>
      </w:r>
    </w:p>
    <w:p>
      <w:r>
        <w:t>Measurable: Achieve maximum DTI impact benefit of 0.4% default rate reduction</w:t>
      </w:r>
    </w:p>
    <w:p>
      <w:r>
        <w:t>Achievable: Implement policy in new underwriting system by next quarter</w:t>
      </w:r>
    </w:p>
    <w:p>
      <w:r>
        <w:t>Relevant: DTI is most responsive risk factor in portfolio</w:t>
      </w:r>
    </w:p>
    <w:p>
      <w:r>
        <w:t>Timeline: 60 days to implement, ongoing monitoring</w:t>
      </w:r>
    </w:p>
    <w:p>
      <w:pPr>
        <w:pStyle w:val="ListBullet"/>
      </w:pPr>
      <w:r>
        <w:t>Estimated Impact: $329,338</w:t>
      </w:r>
    </w:p>
    <w:p/>
    <w:p>
      <w:pPr>
        <w:pStyle w:val="Heading2"/>
      </w:pPr>
      <w:r>
        <w:t>CRITICAL: Prepare for Base Case Scenario</w:t>
      </w:r>
    </w:p>
    <w:p>
      <w:r>
        <w:t>Category: Capital Planning</w:t>
      </w:r>
    </w:p>
    <w:p>
      <w:r>
        <w:t>Specific: Worst-case scenario (Base Case) increases ECL by 0.0% to $88,837,588. Maintain capital reserve of at least this amount.</w:t>
      </w:r>
    </w:p>
    <w:p>
      <w:r>
        <w:t>Measurable: Hold capital buffer of $0 (0.0% above base)</w:t>
      </w:r>
    </w:p>
    <w:p>
      <w:r>
        <w:t>Achievable: Allocate to contingency reserve over next 2 quarters</w:t>
      </w:r>
    </w:p>
    <w:p>
      <w:r>
        <w:t>Relevant: Regulatory requirement for stress testing compliance</w:t>
      </w:r>
    </w:p>
    <w:p>
      <w:r>
        <w:t>Timeline: 180 days to achieve full capital buffer</w:t>
      </w:r>
    </w:p>
    <w:p/>
    <w:p>
      <w:pPr>
        <w:pStyle w:val="Heading2"/>
      </w:pPr>
      <w:r>
        <w:t>MEDIUM: Establish Real-Time Portfolio Monitoring Dashboard</w:t>
      </w:r>
    </w:p>
    <w:p>
      <w:r>
        <w:t>Category: Monitoring</w:t>
      </w:r>
    </w:p>
    <w:p>
      <w:r>
        <w:t>Specific: Create weekly dashboard tracking income distribution, DTI ratios, and default rates by customer segment.</w:t>
      </w:r>
    </w:p>
    <w:p>
      <w:r>
        <w:t>Measurable: Monitor and report 4 key metrics weekly (income, DTI, credit score, employment tenure)</w:t>
      </w:r>
    </w:p>
    <w:p>
      <w:r>
        <w:t>Achievable: Implement using existing BI tools and data warehouse</w:t>
      </w:r>
    </w:p>
    <w:p>
      <w:r>
        <w:t>Relevant: Early warning system for portfolio stress</w:t>
      </w:r>
    </w:p>
    <w:p>
      <w:r>
        <w:t>Timeline: 45 days to implement, 7-day reporting cycle</w:t>
      </w:r>
    </w:p>
    <w:p/>
    <w:p>
      <w:pPr>
        <w:pStyle w:val="Heading2"/>
      </w:pPr>
      <w:r>
        <w:t>MEDIUM: Implement Risk-Based Pricing by Customer Segment</w:t>
      </w:r>
    </w:p>
    <w:p>
      <w:r>
        <w:t>Category: Portfolio Strategy</w:t>
      </w:r>
    </w:p>
    <w:p>
      <w:r>
        <w:t>Specific: Segment customers by income stability and DTI ratio. Apply differential pricing based on risk segment.</w:t>
      </w:r>
    </w:p>
    <w:p>
      <w:r>
        <w:t>Measurable: Differentiate pricing by 50-150 basis points across segments</w:t>
      </w:r>
    </w:p>
    <w:p>
      <w:r>
        <w:t>Achievable: Deploy pricing model in LOS within 90 days</w:t>
      </w:r>
    </w:p>
    <w:p>
      <w:r>
        <w:t>Relevant: Optimize return on risk-adjusted basis</w:t>
      </w:r>
    </w:p>
    <w:p>
      <w:r>
        <w:t>Timeline: 90 days to deploy, 180 days for full portfolio impact</w:t>
      </w:r>
    </w:p>
    <w:p/>
    <w:p>
      <w:pPr>
        <w:pStyle w:val="Heading1"/>
      </w:pPr>
      <w:r>
        <w:t>Appendix: Technical Details</w:t>
      </w:r>
    </w:p>
    <w:p>
      <w:r>
        <w:t>Model Type: Gradient Boosting Classifier</w:t>
      </w:r>
    </w:p>
    <w:p>
      <w:r>
        <w:t>Features Used: income_normalized, credit, dti, age, employment_years, ext_score_avg</w:t>
      </w:r>
    </w:p>
    <w:p>
      <w:r>
        <w:t>LGD (Loss Given Default): 55%</w:t>
      </w:r>
    </w:p>
    <w:p>
      <w:r>
        <w:t>Data Sources: application_train.csv, Loan_Default.csv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