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PROBLEM 11: CONCENTRATION RISK ANALYSIS</w:t>
      </w:r>
    </w:p>
    <w:p>
      <w:pPr>
        <w:pStyle w:val="Heading2"/>
        <w:jc w:val="center"/>
      </w:pPr>
      <w:r>
        <w:t>Portfolio Diversification Assessment Report</w:t>
      </w:r>
    </w:p>
    <w:p>
      <w:pPr>
        <w:jc w:val="center"/>
      </w:pPr>
      <w:r>
        <w:t>Report Generated: 2026-07-27 14:59:27</w:t>
      </w:r>
    </w:p>
    <w:p>
      <w:pPr>
        <w:pStyle w:val="Heading1"/>
      </w:pPr>
      <w:r>
        <w:t>Executive Summary</w:t>
      </w:r>
    </w:p>
    <w:p>
      <w:r>
        <w:br/>
        <w:t>This report analyzes portfolio concentration risk across multiple dimensions including income level, employment type, credit score, and age. Concentration risk measures how much of the portfolio is exposed to specific segments - excessive concentration creates systemic risk.</w:t>
        <w:br/>
        <w:br/>
        <w:t>KEY FINDINGS:</w:t>
        <w:br/>
      </w:r>
    </w:p>
    <w:p>
      <w:pPr>
        <w:pStyle w:val="ListBullet"/>
      </w:pPr>
      <w:r>
        <w:t>• Income Level: HHI=2012 (HIGH) - Top 5 segments control 100.0%</w:t>
      </w:r>
    </w:p>
    <w:p>
      <w:pPr>
        <w:pStyle w:val="ListBullet"/>
      </w:pPr>
      <w:r>
        <w:t>• Employment Type: HHI=3334 (CRITICAL) - Top 5 segments control 100.0%</w:t>
      </w:r>
    </w:p>
    <w:p>
      <w:pPr>
        <w:pStyle w:val="ListBullet"/>
      </w:pPr>
      <w:r>
        <w:t>• Credit Score Bucket: HHI=2002 (HIGH) - Top 5 segments control 100.0%</w:t>
      </w:r>
    </w:p>
    <w:p>
      <w:pPr>
        <w:pStyle w:val="ListBullet"/>
      </w:pPr>
      <w:r>
        <w:t>• Age Group: HHI=2231 (HIGH) - Top 5 segments control 100.0%</w:t>
      </w:r>
    </w:p>
    <w:p>
      <w:pPr>
        <w:pStyle w:val="Heading1"/>
      </w:pPr>
      <w:r>
        <w:t>Concentration Risk Metrics</w:t>
      </w:r>
    </w:p>
    <w:p>
      <w:r>
        <w:t>Herfindahl-Hirschman Index (HHI): Measures market concentration. Range 0-10,000. &gt;2500 is highly concentrated. &lt;1500 is well-diversified.</w:t>
      </w:r>
    </w:p>
    <w:p>
      <w:r>
        <w:t>Concentration Ratio (CR5/CR10): Percentage of total exposure held by top 5/10 segments. Higher values indicate more concentration.</w:t>
      </w:r>
    </w:p>
    <w:p>
      <w:r>
        <w:t>Gini Coefficient: Measures inequality in distribution. 0=perfect equality, 1=perfect inequality.</w:t>
      </w:r>
    </w:p>
    <w:p>
      <w:pPr>
        <w:pStyle w:val="Heading1"/>
      </w:pPr>
      <w:r>
        <w:t>Detailed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Dimension</w:t>
            </w:r>
          </w:p>
        </w:tc>
        <w:tc>
          <w:tcPr>
            <w:tcW w:type="dxa" w:w="1440"/>
          </w:tcPr>
          <w:p>
            <w:r>
              <w:t>HHI</w:t>
            </w:r>
          </w:p>
        </w:tc>
        <w:tc>
          <w:tcPr>
            <w:tcW w:type="dxa" w:w="1440"/>
          </w:tcPr>
          <w:p>
            <w:r>
              <w:t>Status</w:t>
            </w:r>
          </w:p>
        </w:tc>
        <w:tc>
          <w:tcPr>
            <w:tcW w:type="dxa" w:w="1440"/>
          </w:tcPr>
          <w:p>
            <w:r>
              <w:t>CR5 (%)</w:t>
            </w:r>
          </w:p>
        </w:tc>
        <w:tc>
          <w:tcPr>
            <w:tcW w:type="dxa" w:w="1440"/>
          </w:tcPr>
          <w:p>
            <w:r>
              <w:t>Top Segment</w:t>
            </w:r>
          </w:p>
        </w:tc>
        <w:tc>
          <w:tcPr>
            <w:tcW w:type="dxa" w:w="1440"/>
          </w:tcPr>
          <w:p>
            <w:r>
              <w:t>Top Share (%)</w:t>
            </w:r>
          </w:p>
        </w:tc>
      </w:tr>
      <w:tr>
        <w:tc>
          <w:tcPr>
            <w:tcW w:type="dxa" w:w="1440"/>
          </w:tcPr>
          <w:p>
            <w:r>
              <w:t>Income Level</w:t>
            </w:r>
          </w:p>
        </w:tc>
        <w:tc>
          <w:tcPr>
            <w:tcW w:type="dxa" w:w="1440"/>
          </w:tcPr>
          <w:p>
            <w:r>
              <w:t>2012</w:t>
            </w:r>
          </w:p>
        </w:tc>
        <w:tc>
          <w:tcPr>
            <w:tcW w:type="dxa" w:w="1440"/>
          </w:tcPr>
          <w:p>
            <w:r>
              <w:t>HIGH</w:t>
            </w:r>
          </w:p>
        </w:tc>
        <w:tc>
          <w:tcPr>
            <w:tcW w:type="dxa" w:w="1440"/>
          </w:tcPr>
          <w:p>
            <w:r>
              <w:t>100.0</w:t>
            </w:r>
          </w:p>
        </w:tc>
        <w:tc>
          <w:tcPr>
            <w:tcW w:type="dxa" w:w="1440"/>
          </w:tcPr>
          <w:p>
            <w:r>
              <w:t>Medium</w:t>
            </w:r>
          </w:p>
        </w:tc>
        <w:tc>
          <w:tcPr>
            <w:tcW w:type="dxa" w:w="1440"/>
          </w:tcPr>
          <w:p>
            <w:r>
              <w:t>21.7</w:t>
            </w:r>
          </w:p>
        </w:tc>
      </w:tr>
      <w:tr>
        <w:tc>
          <w:tcPr>
            <w:tcW w:type="dxa" w:w="1440"/>
          </w:tcPr>
          <w:p>
            <w:r>
              <w:t>Employment Type</w:t>
            </w:r>
          </w:p>
        </w:tc>
        <w:tc>
          <w:tcPr>
            <w:tcW w:type="dxa" w:w="1440"/>
          </w:tcPr>
          <w:p>
            <w:r>
              <w:t>3334</w:t>
            </w:r>
          </w:p>
        </w:tc>
        <w:tc>
          <w:tcPr>
            <w:tcW w:type="dxa" w:w="1440"/>
          </w:tcPr>
          <w:p>
            <w:r>
              <w:t>CRITICAL</w:t>
            </w:r>
          </w:p>
        </w:tc>
        <w:tc>
          <w:tcPr>
            <w:tcW w:type="dxa" w:w="1440"/>
          </w:tcPr>
          <w:p>
            <w:r>
              <w:t>100.0</w:t>
            </w:r>
          </w:p>
        </w:tc>
        <w:tc>
          <w:tcPr>
            <w:tcW w:type="dxa" w:w="1440"/>
          </w:tcPr>
          <w:p>
            <w:r>
              <w:t>Working</w:t>
            </w:r>
          </w:p>
        </w:tc>
        <w:tc>
          <w:tcPr>
            <w:tcW w:type="dxa" w:w="1440"/>
          </w:tcPr>
          <w:p>
            <w:r>
              <w:t>34.0</w:t>
            </w:r>
          </w:p>
        </w:tc>
      </w:tr>
      <w:tr>
        <w:tc>
          <w:tcPr>
            <w:tcW w:type="dxa" w:w="1440"/>
          </w:tcPr>
          <w:p>
            <w:r>
              <w:t>Credit Score Bucket</w:t>
            </w:r>
          </w:p>
        </w:tc>
        <w:tc>
          <w:tcPr>
            <w:tcW w:type="dxa" w:w="1440"/>
          </w:tcPr>
          <w:p>
            <w:r>
              <w:t>2002</w:t>
            </w:r>
          </w:p>
        </w:tc>
        <w:tc>
          <w:tcPr>
            <w:tcW w:type="dxa" w:w="1440"/>
          </w:tcPr>
          <w:p>
            <w:r>
              <w:t>HIGH</w:t>
            </w:r>
          </w:p>
        </w:tc>
        <w:tc>
          <w:tcPr>
            <w:tcW w:type="dxa" w:w="1440"/>
          </w:tcPr>
          <w:p>
            <w:r>
              <w:t>100.0</w:t>
            </w:r>
          </w:p>
        </w:tc>
        <w:tc>
          <w:tcPr>
            <w:tcW w:type="dxa" w:w="1440"/>
          </w:tcPr>
          <w:p>
            <w:r>
              <w:t>Fair</w:t>
            </w:r>
          </w:p>
        </w:tc>
        <w:tc>
          <w:tcPr>
            <w:tcW w:type="dxa" w:w="1440"/>
          </w:tcPr>
          <w:p>
            <w:r>
              <w:t>20.9</w:t>
            </w:r>
          </w:p>
        </w:tc>
      </w:tr>
      <w:tr>
        <w:tc>
          <w:tcPr>
            <w:tcW w:type="dxa" w:w="1440"/>
          </w:tcPr>
          <w:p>
            <w:r>
              <w:t>Age Group</w:t>
            </w:r>
          </w:p>
        </w:tc>
        <w:tc>
          <w:tcPr>
            <w:tcW w:type="dxa" w:w="1440"/>
          </w:tcPr>
          <w:p>
            <w:r>
              <w:t>2231</w:t>
            </w:r>
          </w:p>
        </w:tc>
        <w:tc>
          <w:tcPr>
            <w:tcW w:type="dxa" w:w="1440"/>
          </w:tcPr>
          <w:p>
            <w:r>
              <w:t>HIGH</w:t>
            </w:r>
          </w:p>
        </w:tc>
        <w:tc>
          <w:tcPr>
            <w:tcW w:type="dxa" w:w="1440"/>
          </w:tcPr>
          <w:p>
            <w:r>
              <w:t>100.0</w:t>
            </w:r>
          </w:p>
        </w:tc>
        <w:tc>
          <w:tcPr>
            <w:tcW w:type="dxa" w:w="1440"/>
          </w:tcPr>
          <w:p>
            <w:r>
              <w:t>45-55</w:t>
            </w:r>
          </w:p>
        </w:tc>
        <w:tc>
          <w:tcPr>
            <w:tcW w:type="dxa" w:w="1440"/>
          </w:tcPr>
          <w:p>
            <w:r>
              <w:t>26.6</w:t>
            </w:r>
          </w:p>
        </w:tc>
      </w:tr>
    </w:tbl>
    <w:p>
      <w:pPr>
        <w:pStyle w:val="Heading1"/>
      </w:pPr>
      <w:r>
        <w:t>Visual Analysis</w:t>
      </w:r>
    </w:p>
    <w:p>
      <w:r>
        <w:br/>
        <w:t>01_HHI_Concentration_Analysis.png:</w:t>
      </w:r>
    </w:p>
    <w:p>
      <w:r>
        <w:drawing>
          <wp:inline xmlns:a="http://schemas.openxmlformats.org/drawingml/2006/main" xmlns:pic="http://schemas.openxmlformats.org/drawingml/2006/picture">
            <wp:extent cx="5486400" cy="2711687"/>
            <wp:docPr id="1" name="Picture 1"/>
            <wp:cNvGraphicFramePr>
              <a:graphicFrameLocks noChangeAspect="1"/>
            </wp:cNvGraphicFramePr>
            <a:graphic>
              <a:graphicData uri="http://schemas.openxmlformats.org/drawingml/2006/picture">
                <pic:pic>
                  <pic:nvPicPr>
                    <pic:cNvPr id="0" name="01_HHI_Concentration_Analysis.png"/>
                    <pic:cNvPicPr/>
                  </pic:nvPicPr>
                  <pic:blipFill>
                    <a:blip r:embed="rId9"/>
                    <a:stretch>
                      <a:fillRect/>
                    </a:stretch>
                  </pic:blipFill>
                  <pic:spPr>
                    <a:xfrm>
                      <a:off x="0" y="0"/>
                      <a:ext cx="5486400" cy="2711687"/>
                    </a:xfrm>
                    <a:prstGeom prst="rect"/>
                  </pic:spPr>
                </pic:pic>
              </a:graphicData>
            </a:graphic>
          </wp:inline>
        </w:drawing>
      </w:r>
    </w:p>
    <w:p>
      <w:r>
        <w:br/>
        <w:t>02_Concentration_Ratio_CR5_CR10.png:</w:t>
      </w:r>
    </w:p>
    <w:p>
      <w:r>
        <w:drawing>
          <wp:inline xmlns:a="http://schemas.openxmlformats.org/drawingml/2006/main" xmlns:pic="http://schemas.openxmlformats.org/drawingml/2006/picture">
            <wp:extent cx="5486400" cy="2723188"/>
            <wp:docPr id="2" name="Picture 2"/>
            <wp:cNvGraphicFramePr>
              <a:graphicFrameLocks noChangeAspect="1"/>
            </wp:cNvGraphicFramePr>
            <a:graphic>
              <a:graphicData uri="http://schemas.openxmlformats.org/drawingml/2006/picture">
                <pic:pic>
                  <pic:nvPicPr>
                    <pic:cNvPr id="0" name="02_Concentration_Ratio_CR5_CR10.png"/>
                    <pic:cNvPicPr/>
                  </pic:nvPicPr>
                  <pic:blipFill>
                    <a:blip r:embed="rId10"/>
                    <a:stretch>
                      <a:fillRect/>
                    </a:stretch>
                  </pic:blipFill>
                  <pic:spPr>
                    <a:xfrm>
                      <a:off x="0" y="0"/>
                      <a:ext cx="5486400" cy="2723188"/>
                    </a:xfrm>
                    <a:prstGeom prst="rect"/>
                  </pic:spPr>
                </pic:pic>
              </a:graphicData>
            </a:graphic>
          </wp:inline>
        </w:drawing>
      </w:r>
    </w:p>
    <w:p>
      <w:r>
        <w:br/>
        <w:t>03_Top_Segments_Distribution.png:</w:t>
      </w:r>
    </w:p>
    <w:p>
      <w:r>
        <w:drawing>
          <wp:inline xmlns:a="http://schemas.openxmlformats.org/drawingml/2006/main" xmlns:pic="http://schemas.openxmlformats.org/drawingml/2006/picture">
            <wp:extent cx="5486400" cy="3970230"/>
            <wp:docPr id="3" name="Picture 3"/>
            <wp:cNvGraphicFramePr>
              <a:graphicFrameLocks noChangeAspect="1"/>
            </wp:cNvGraphicFramePr>
            <a:graphic>
              <a:graphicData uri="http://schemas.openxmlformats.org/drawingml/2006/picture">
                <pic:pic>
                  <pic:nvPicPr>
                    <pic:cNvPr id="0" name="03_Top_Segments_Distribution.png"/>
                    <pic:cNvPicPr/>
                  </pic:nvPicPr>
                  <pic:blipFill>
                    <a:blip r:embed="rId11"/>
                    <a:stretch>
                      <a:fillRect/>
                    </a:stretch>
                  </pic:blipFill>
                  <pic:spPr>
                    <a:xfrm>
                      <a:off x="0" y="0"/>
                      <a:ext cx="5486400" cy="3970230"/>
                    </a:xfrm>
                    <a:prstGeom prst="rect"/>
                  </pic:spPr>
                </pic:pic>
              </a:graphicData>
            </a:graphic>
          </wp:inline>
        </w:drawing>
      </w:r>
    </w:p>
    <w:p>
      <w:r>
        <w:br/>
        <w:t>04_Risk_Matrix_Concentration.png:</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04_Risk_Matrix_Concentration.png"/>
                    <pic:cNvPicPr/>
                  </pic:nvPicPr>
                  <pic:blipFill>
                    <a:blip r:embed="rId12"/>
                    <a:stretch>
                      <a:fillRect/>
                    </a:stretch>
                  </pic:blipFill>
                  <pic:spPr>
                    <a:xfrm>
                      <a:off x="0" y="0"/>
                      <a:ext cx="5486400" cy="3657600"/>
                    </a:xfrm>
                    <a:prstGeom prst="rect"/>
                  </pic:spPr>
                </pic:pic>
              </a:graphicData>
            </a:graphic>
          </wp:inline>
        </w:drawing>
      </w:r>
    </w:p>
    <w:p>
      <w:pPr>
        <w:pStyle w:val="Heading1"/>
      </w:pPr>
      <w:r>
        <w:t>SMART Recommendations</w:t>
      </w:r>
    </w:p>
    <w:p>
      <w:pPr>
        <w:pStyle w:val="Heading2"/>
      </w:pPr>
      <w:r>
        <w:t>HIGH: Income Level</w:t>
      </w:r>
    </w:p>
    <w:p>
      <w:r>
        <w:t>Issue: Moderately Concentrated - HHI: 2012</w:t>
      </w:r>
    </w:p>
    <w:p>
      <w:r>
        <w:t>Specific: Income Level shows moderate concentration risk with top 5 segments at 100.0%.</w:t>
      </w:r>
    </w:p>
    <w:p>
      <w:r>
        <w:t>Measurable: Maintain HHI &lt;1500 or reduce by 15% annually</w:t>
      </w:r>
    </w:p>
    <w:p>
      <w:r>
        <w:t>Achievable: Implement targeted diversification strategy in underwriting</w:t>
      </w:r>
    </w:p>
    <w:p>
      <w:r>
        <w:t>Relevant: Optimize risk-return profile</w:t>
      </w:r>
    </w:p>
    <w:p>
      <w:r>
        <w:t>Timeline: 6-12 months</w:t>
      </w:r>
    </w:p>
    <w:p/>
    <w:p>
      <w:pPr>
        <w:pStyle w:val="Heading2"/>
      </w:pPr>
      <w:r>
        <w:t>CRITICAL: Employment Type</w:t>
      </w:r>
    </w:p>
    <w:p>
      <w:r>
        <w:t>Issue: Highly Concentrated - HHI: 3334</w:t>
      </w:r>
    </w:p>
    <w:p>
      <w:r>
        <w:t>Specific: Employment Type shows critical concentration with top segment holding 34.0% and top 5 holding 100.0%.</w:t>
      </w:r>
    </w:p>
    <w:p>
      <w:r>
        <w:t>Measurable: Reduce HHI from 3334 to &lt;2500 within 12 months</w:t>
      </w:r>
    </w:p>
    <w:p>
      <w:r>
        <w:t>Achievable: Diversify new originations across 4 segments</w:t>
      </w:r>
    </w:p>
    <w:p>
      <w:r>
        <w:t>Relevant: Regulatory compliance and systemic risk reduction</w:t>
      </w:r>
    </w:p>
    <w:p>
      <w:r>
        <w:t>Timeline: 12 months with quarterly milestones</w:t>
      </w:r>
    </w:p>
    <w:p/>
    <w:p>
      <w:pPr>
        <w:pStyle w:val="Heading2"/>
      </w:pPr>
      <w:r>
        <w:t>HIGH: Credit Score Bucket</w:t>
      </w:r>
    </w:p>
    <w:p>
      <w:r>
        <w:t>Issue: Moderately Concentrated - HHI: 2002</w:t>
      </w:r>
    </w:p>
    <w:p>
      <w:r>
        <w:t>Specific: Credit Score Bucket shows moderate concentration risk with top 5 segments at 100.0%.</w:t>
      </w:r>
    </w:p>
    <w:p>
      <w:r>
        <w:t>Measurable: Maintain HHI &lt;1500 or reduce by 15% annually</w:t>
      </w:r>
    </w:p>
    <w:p>
      <w:r>
        <w:t>Achievable: Implement targeted diversification strategy in underwriting</w:t>
      </w:r>
    </w:p>
    <w:p>
      <w:r>
        <w:t>Relevant: Optimize risk-return profile</w:t>
      </w:r>
    </w:p>
    <w:p>
      <w:r>
        <w:t>Timeline: 6-12 months</w:t>
      </w:r>
    </w:p>
    <w:p/>
    <w:p>
      <w:pPr>
        <w:pStyle w:val="Heading2"/>
      </w:pPr>
      <w:r>
        <w:t>HIGH: Age Group</w:t>
      </w:r>
    </w:p>
    <w:p>
      <w:r>
        <w:t>Issue: Moderately Concentrated - HHI: 2231</w:t>
      </w:r>
    </w:p>
    <w:p>
      <w:r>
        <w:t>Specific: Age Group shows moderate concentration risk with top 5 segments at 100.0%.</w:t>
      </w:r>
    </w:p>
    <w:p>
      <w:r>
        <w:t>Measurable: Maintain HHI &lt;1500 or reduce by 15% annually</w:t>
      </w:r>
    </w:p>
    <w:p>
      <w:r>
        <w:t>Achievable: Implement targeted diversification strategy in underwriting</w:t>
      </w:r>
    </w:p>
    <w:p>
      <w:r>
        <w:t>Relevant: Optimize risk-return profile</w:t>
      </w:r>
    </w:p>
    <w:p>
      <w:r>
        <w:t>Timeline: 6-12 months</w:t>
      </w:r>
    </w:p>
    <w:p/>
    <w:p>
      <w:pPr>
        <w:pStyle w:val="Heading1"/>
      </w:pPr>
      <w:r>
        <w:t>Appendix: Technical Details</w:t>
      </w:r>
    </w:p>
    <w:p>
      <w:r>
        <w:t>Analysis Date: 2026-07-27 14:59:27</w:t>
      </w:r>
    </w:p>
    <w:p>
      <w:r>
        <w:t>Total Dimensions Analyzed: 4</w:t>
      </w:r>
    </w:p>
    <w:p>
      <w:r>
        <w:t>Dimensions: Income Level, Employment Type, Credit Score,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