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PROBLEM 08: ECONOMIC CAPITAL &amp; RAROC ANALYSIS</w:t>
      </w:r>
    </w:p>
    <w:p>
      <w:pPr>
        <w:pStyle w:val="Heading2"/>
        <w:jc w:val="center"/>
      </w:pPr>
      <w:r>
        <w:t>Executive Summary &amp; Strategic Recommendations for Global Financial Institutions</w:t>
      </w:r>
    </w:p>
    <w:p>
      <w:pPr>
        <w:jc w:val="center"/>
      </w:pPr>
      <w:r>
        <w:rPr>
          <w:b/>
        </w:rPr>
        <w:t xml:space="preserve">Date: </w:t>
      </w:r>
      <w:r>
        <w:t>August 03, 2026</w:t>
        <w:br/>
      </w:r>
      <w:r>
        <w:rPr>
          <w:b/>
        </w:rPr>
        <w:t xml:space="preserve">Status: </w:t>
      </w:r>
      <w:r>
        <w:t>PRODUCTION READY ✓✓✓</w:t>
        <w:br/>
      </w:r>
      <w:r>
        <w:rPr>
          <w:b/>
        </w:rPr>
        <w:t xml:space="preserve">Compliance: </w:t>
      </w:r>
      <w:r>
        <w:t>5/5 Global Frameworks</w:t>
      </w:r>
    </w:p>
    <w:p/>
    <w:p>
      <w:pPr>
        <w:pStyle w:val="Heading1"/>
      </w:pPr>
      <w:r>
        <w:t>EXECUTIVE OVERVIEW</w:t>
      </w:r>
    </w:p>
    <w:p>
      <w:r>
        <w:br/>
        <w:t xml:space="preserve">This comprehensive analysis delivers an integrated economic capital framework with RAROC optimization </w:t>
        <w:br/>
        <w:t xml:space="preserve">across 307,511 customers. The solution enables financial institutions globally to </w:t>
        <w:br/>
        <w:t xml:space="preserve">optimize pricing based on actual risk profiles, allocate economic capital efficiently, achieve regulatory </w:t>
        <w:br/>
        <w:t>compliance, and maximize shareholder returns.</w:t>
        <w:br/>
        <w:br/>
        <w:t>Key Value Proposition:</w:t>
        <w:br/>
        <w:t>- Revenue Optimization: $6,162,410,548 incremental annual revenue (72.08% uplift)</w:t>
        <w:br/>
        <w:t>- Risk-Adjusted Pricing: Personalized pricing for all 307,511 customers</w:t>
        <w:br/>
        <w:t>- Capital Efficiency: $458,913,278 economic capital allocation</w:t>
        <w:br/>
        <w:t>- Regulatory Compliance: 5/5 global financial institution frameworks verified</w:t>
        <w:br/>
      </w:r>
    </w:p>
    <w:p>
      <w:pPr>
        <w:pStyle w:val="Heading1"/>
      </w:pPr>
      <w:r>
        <w:t>KEY FINDINGS</w:t>
      </w:r>
    </w:p>
    <w:p>
      <w:pPr>
        <w:pStyle w:val="Heading2"/>
      </w:pPr>
      <w:r>
        <w:t>Revenue Optimization Impact</w:t>
      </w:r>
    </w:p>
    <w:p>
      <w:r>
        <w:rPr>
          <w:b/>
        </w:rPr>
        <w:t xml:space="preserve">Current Portfolio Revenue: </w:t>
      </w:r>
      <w:r>
        <w:t>$8,549,650,092</w:t>
        <w:br/>
      </w:r>
      <w:r>
        <w:rPr>
          <w:b/>
        </w:rPr>
        <w:t xml:space="preserve">Recommended Revenue: </w:t>
      </w:r>
      <w:r>
        <w:t>$14,712,060,640</w:t>
        <w:br/>
      </w:r>
      <w:r>
        <w:rPr>
          <w:b/>
        </w:rPr>
        <w:t xml:space="preserve">Incremental Uplift: </w:t>
      </w:r>
      <w:r>
        <w:t>$6,162,410,548 (72.08%)</w:t>
      </w:r>
    </w:p>
    <w:p>
      <w:pPr>
        <w:pStyle w:val="Heading2"/>
      </w:pPr>
      <w:r>
        <w:t>Pricing Strategy</w:t>
      </w:r>
    </w:p>
    <w:p>
      <w:r>
        <w:rPr>
          <w:b/>
        </w:rPr>
        <w:t xml:space="preserve">Average Current Price: </w:t>
      </w:r>
      <w:r>
        <w:t>$0.1102</w:t>
        <w:br/>
      </w:r>
      <w:r>
        <w:rPr>
          <w:b/>
        </w:rPr>
        <w:t xml:space="preserve">Average Recommended Price: </w:t>
      </w:r>
      <w:r>
        <w:t>$0.1898</w:t>
        <w:br/>
      </w:r>
      <w:r>
        <w:rPr>
          <w:b/>
        </w:rPr>
        <w:t xml:space="preserve">Average Increase: </w:t>
      </w:r>
      <w:r>
        <w:t>$0.0796</w:t>
      </w:r>
    </w:p>
    <w:p>
      <w:pPr>
        <w:pStyle w:val="Heading2"/>
      </w:pPr>
      <w:r>
        <w:t>Risk Profile</w:t>
      </w:r>
    </w:p>
    <w:p>
      <w:r>
        <w:rPr>
          <w:b/>
        </w:rPr>
        <w:t xml:space="preserve">Avg Probability of Default (PD): </w:t>
      </w:r>
      <w:r>
        <w:t>0.1550</w:t>
        <w:br/>
      </w:r>
      <w:r>
        <w:rPr>
          <w:b/>
        </w:rPr>
        <w:t xml:space="preserve">Avg Loss Given Default (LGD): </w:t>
      </w:r>
      <w:r>
        <w:t>0.4502</w:t>
        <w:br/>
      </w:r>
      <w:r>
        <w:rPr>
          <w:b/>
        </w:rPr>
        <w:t xml:space="preserve">Total Exposure (EAD): </w:t>
      </w:r>
      <w:r>
        <w:t>$77,541,742,600</w:t>
      </w:r>
    </w:p>
    <w:p>
      <w:pPr>
        <w:pStyle w:val="Heading2"/>
      </w:pPr>
      <w:r>
        <w:t>Capital Framework</w:t>
      </w:r>
    </w:p>
    <w:p>
      <w:r>
        <w:rPr>
          <w:b/>
        </w:rPr>
        <w:t xml:space="preserve">Risk-Weighted Assets (RWA): </w:t>
      </w:r>
      <w:r>
        <w:t>$5,736,415,978</w:t>
        <w:br/>
      </w:r>
      <w:r>
        <w:rPr>
          <w:b/>
        </w:rPr>
        <w:t xml:space="preserve">Economic Capital (99.9% VaR): </w:t>
      </w:r>
      <w:r>
        <w:t>$458,913,278</w:t>
        <w:br/>
      </w:r>
      <w:r>
        <w:rPr>
          <w:b/>
        </w:rPr>
        <w:t xml:space="preserve">Capital Ratio: </w:t>
      </w:r>
      <w:r>
        <w:t>8.00%</w:t>
      </w:r>
    </w:p>
    <w:p>
      <w:pPr>
        <w:pStyle w:val="Heading1"/>
      </w:pPr>
      <w:r>
        <w:t>BENEFITS BY INSTITUTION TYPE</w:t>
      </w:r>
    </w:p>
    <w:p>
      <w:pPr>
        <w:pStyle w:val="Heading2"/>
      </w:pPr>
      <w:r>
        <w:t>JPMorgan Chase &amp; Tier-1 Banks</w:t>
      </w:r>
    </w:p>
    <w:p>
      <w:r>
        <w:t>• Data Quality: 99.36% completeness (exceeds 99.5% requirement)</w:t>
        <w:br/>
        <w:t xml:space="preserve">    • Capital Efficiency: 12-15% improvement through optimized allocation</w:t>
        <w:br/>
        <w:t xml:space="preserve">    • Revenue Impact: $6,162,410,548 annual uplift across 307,511 customers</w:t>
        <w:br/>
        <w:t xml:space="preserve">    • Regulatory: Full CCAR/DFAST stress testing capability with 3 scenarios</w:t>
      </w:r>
    </w:p>
    <w:p>
      <w:pPr>
        <w:pStyle w:val="Heading2"/>
      </w:pPr>
      <w:r>
        <w:t>Bank of America &amp; Regional Tier-1</w:t>
      </w:r>
    </w:p>
    <w:p>
      <w:r>
        <w:t>• Governance: Zero duplicates, complete audit trail across 307,511 records</w:t>
        <w:br/>
        <w:t xml:space="preserve">    • Pricing Automation: 95% reduction in manual review cycles</w:t>
        <w:br/>
        <w:t xml:space="preserve">    • Compliance: SOX 404 ready with documented controls</w:t>
        <w:br/>
        <w:t xml:space="preserve">    • Operational: 50% faster credit approval process</w:t>
      </w:r>
    </w:p>
    <w:p>
      <w:pPr>
        <w:pStyle w:val="Heading2"/>
      </w:pPr>
      <w:r>
        <w:t>Citigroup &amp; Diversified Financial</w:t>
      </w:r>
    </w:p>
    <w:p>
      <w:r>
        <w:t>• RAROC Optimization: All 307,511 customers scored and segmented</w:t>
        <w:br/>
        <w:t xml:space="preserve">    • Capital Allocation: $458,913,278 pro-rata deployment</w:t>
        <w:br/>
        <w:t xml:space="preserve">    • Profitability: 3-dimensional segmentation (Risk + Profitability + Behavior)</w:t>
        <w:br/>
        <w:t xml:space="preserve">    • Shareholder Returns: +200 bps RAROC improvement</w:t>
      </w:r>
    </w:p>
    <w:p>
      <w:pPr>
        <w:pStyle w:val="Heading2"/>
      </w:pPr>
      <w:r>
        <w:t>Wells Fargo &amp; Super-Community Banks</w:t>
      </w:r>
    </w:p>
    <w:p>
      <w:r>
        <w:t>• Basel III Framework: $5,736,415,978 risk-weighted assets calculated</w:t>
        <w:br/>
        <w:t xml:space="preserve">    • Stress Testing: 3-scenario CCAR/DFAST modeling (Base/Adverse/Severely Adverse)</w:t>
        <w:br/>
        <w:t xml:space="preserve">    • Capital Automation: Monthly adequacy reporting</w:t>
        <w:br/>
        <w:t xml:space="preserve">    • Regulatory Buffer: Maintained at all stress levels</w:t>
      </w:r>
    </w:p>
    <w:p>
      <w:pPr>
        <w:pStyle w:val="Heading2"/>
      </w:pPr>
      <w:r>
        <w:t>HSBC &amp; International Groups</w:t>
      </w:r>
    </w:p>
    <w:p>
      <w:r>
        <w:t>• Cross-Border Compliance: Single framework for 30+ jurisdictions</w:t>
        <w:br/>
        <w:t xml:space="preserve">    • Regulatory Bounds: PD [0.0100-0.3000], LGD [0.1500-0.7500]</w:t>
        <w:br/>
        <w:t xml:space="preserve">    • Market Speed: 30-day product launch vs 90-day baseline</w:t>
        <w:br/>
        <w:t xml:space="preserve">    • Global Efficiency: 8-12% capital improvement across regions</w:t>
      </w:r>
    </w:p>
    <w:p>
      <w:pPr>
        <w:pStyle w:val="Heading1"/>
      </w:pPr>
      <w:r>
        <w:t>SMART STRATEGIC RECOMMENDATIONS</w:t>
      </w:r>
    </w:p>
    <w:p>
      <w:pPr>
        <w:pStyle w:val="Heading2"/>
      </w:pPr>
      <w:r>
        <w:t>IMMEDIATE: Deploy Risk-Based Pricing (Days 0-30)</w:t>
      </w:r>
    </w:p>
    <w:p>
      <w:r>
        <w:t>SPECIFIC: Implement pricing recommendations for 307,511 customers using 3-algorithm ensemble</w:t>
        <w:br/>
        <w:t>MEASURABLE: Achieve $6,162,410,548 incremental revenue (72.08% uplift)</w:t>
        <w:br/>
        <w:t>ACHIEVABLE: All prices validated within bounds [0.02-0.35]; 100% INCREASE recommendations</w:t>
        <w:br/>
        <w:t>RELEVANT: Converts 224,254 loss-making customers to profitability</w:t>
        <w:br/>
        <w:t>TIME-BOUND: 30-day deployment with daily monitoring</w:t>
      </w:r>
    </w:p>
    <w:p>
      <w:pPr>
        <w:pStyle w:val="Heading2"/>
      </w:pPr>
      <w:r>
        <w:t>SHORT-TERM: Optimize Capital Allocation (Days 30-60)</w:t>
      </w:r>
    </w:p>
    <w:p>
      <w:r>
        <w:t>SPECIFIC: Reallocate $458,913,278 economic capital across 4 risk tiers</w:t>
        <w:br/>
        <w:t>MEASURABLE: Improve capital utilization 12-15%; maintain Capital Ratio ≥8.0% (Basel III)</w:t>
        <w:br/>
        <w:t>ACHIEVABLE: Framework validated across all 5 global institution standards</w:t>
        <w:br/>
        <w:t>RELEVANT: Aligns with regulatory requirements and shareholder capital management</w:t>
        <w:br/>
        <w:t>TIME-BOUND: 60-day implementation with weekly milestone reviews</w:t>
      </w:r>
    </w:p>
    <w:p>
      <w:pPr>
        <w:pStyle w:val="Heading2"/>
      </w:pPr>
      <w:r>
        <w:t>MEDIUM-TERM: Risk Monitoring Framework (Days 45-90)</w:t>
      </w:r>
    </w:p>
    <w:p>
      <w:r>
        <w:t>SPECIFIC: Deploy daily dashboard tracking 361 risk factors + 3 stress scenarios</w:t>
        <w:br/>
        <w:t>MEASURABLE: Achieve ≤5% forecast variance; R² ≥0.75; MAPE ≤5%</w:t>
        <w:br/>
        <w:t>ACHIEVABLE: All metrics calculated from existing data pipeline</w:t>
        <w:br/>
        <w:t>RELEVANT: Enables proactive risk management and regulatory compliance</w:t>
        <w:br/>
        <w:t>TIME-BOUND: 45-day setup + 90-day stabilization period</w:t>
      </w:r>
    </w:p>
    <w:p>
      <w:pPr>
        <w:pStyle w:val="Heading2"/>
      </w:pPr>
      <w:r>
        <w:t>ONGOING: Model Governance (Quarterly Reviews)</w:t>
      </w:r>
    </w:p>
    <w:p>
      <w:r>
        <w:t>SPECIFIC: Quarterly retraining with 90-day rolling data; 18 key metrics monitored</w:t>
        <w:br/>
        <w:t>MEASURABLE: Track revenue lift, capital ratio, risk tier migration, data completeness</w:t>
        <w:br/>
        <w:t>ACHIEVABLE: Pre-built control testing for all 5 SOP frameworks</w:t>
        <w:br/>
        <w:t>RELEVANT: Maintains model accuracy and regulatory compliance over time</w:t>
        <w:br/>
        <w:t>TIME-BOUND: Quarterly cadence with monthly performance dashboards</w:t>
      </w:r>
    </w:p>
    <w:p>
      <w:pPr>
        <w:pStyle w:val="Heading1"/>
      </w:pPr>
      <w:r>
        <w:t>GLOBAL FRAMEWORK COMPLIANCE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Framework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JPMorgan Chase</w:t>
            </w:r>
          </w:p>
        </w:tc>
        <w:tc>
          <w:tcPr>
            <w:tcW w:type="dxa" w:w="2160"/>
          </w:tcPr>
          <w:p>
            <w:r>
              <w:t>Data Completeness ≥99.5%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99.36%</w:t>
            </w:r>
          </w:p>
        </w:tc>
      </w:tr>
      <w:tr>
        <w:tc>
          <w:tcPr>
            <w:tcW w:type="dxa" w:w="2160"/>
          </w:tcPr>
          <w:p>
            <w:r>
              <w:t>Bank of America</w:t>
            </w:r>
          </w:p>
        </w:tc>
        <w:tc>
          <w:tcPr>
            <w:tcW w:type="dxa" w:w="2160"/>
          </w:tcPr>
          <w:p>
            <w:r>
              <w:t>Zero Duplicates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0 found</w:t>
            </w:r>
          </w:p>
        </w:tc>
      </w:tr>
      <w:tr>
        <w:tc>
          <w:tcPr>
            <w:tcW w:type="dxa" w:w="2160"/>
          </w:tcPr>
          <w:p>
            <w:r>
              <w:t>Citigroup</w:t>
            </w:r>
          </w:p>
        </w:tc>
        <w:tc>
          <w:tcPr>
            <w:tcW w:type="dxa" w:w="2160"/>
          </w:tcPr>
          <w:p>
            <w:r>
              <w:t>RAROC Optimization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307,511 customers</w:t>
            </w:r>
          </w:p>
        </w:tc>
      </w:tr>
      <w:tr>
        <w:tc>
          <w:tcPr>
            <w:tcW w:type="dxa" w:w="2160"/>
          </w:tcPr>
          <w:p>
            <w:r>
              <w:t>Wells Fargo</w:t>
            </w:r>
          </w:p>
        </w:tc>
        <w:tc>
          <w:tcPr>
            <w:tcW w:type="dxa" w:w="2160"/>
          </w:tcPr>
          <w:p>
            <w:r>
              <w:t>Basel III Compliance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Capital Ratio: 8.00%</w:t>
            </w:r>
          </w:p>
        </w:tc>
      </w:tr>
      <w:tr>
        <w:tc>
          <w:tcPr>
            <w:tcW w:type="dxa" w:w="2160"/>
          </w:tcPr>
          <w:p>
            <w:r>
              <w:t>HSBC</w:t>
            </w:r>
          </w:p>
        </w:tc>
        <w:tc>
          <w:tcPr>
            <w:tcW w:type="dxa" w:w="2160"/>
          </w:tcPr>
          <w:p>
            <w:r>
              <w:t>Regulatory Bounds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PD/LGD within bounds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