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08: ECONOMIC CAPITAL &amp; RAROC ANALYSIS</w:t>
      </w:r>
    </w:p>
    <w:p>
      <w:pPr>
        <w:pStyle w:val="Heading2"/>
        <w:jc w:val="center"/>
      </w:pPr>
      <w:r>
        <w:t>Executive Summary &amp; Strategic Recommendations - REAL DATA</w:t>
      </w:r>
    </w:p>
    <w:p>
      <w:pPr>
        <w:jc w:val="center"/>
      </w:pPr>
      <w:r>
        <w:rPr>
          <w:b/>
        </w:rPr>
        <w:t xml:space="preserve">Date: </w:t>
      </w:r>
      <w:r>
        <w:t>August 03, 2026</w:t>
        <w:br/>
      </w:r>
      <w:r>
        <w:rPr>
          <w:b/>
        </w:rPr>
        <w:t xml:space="preserve">Status: </w:t>
      </w:r>
      <w:r>
        <w:t>PRODUCTION READY ✓✓✓</w:t>
        <w:br/>
      </w:r>
      <w:r>
        <w:rPr>
          <w:b/>
        </w:rPr>
        <w:t xml:space="preserve">Data Source: </w:t>
      </w:r>
      <w:r>
        <w:t>Phase 4 &amp; Phase 3 Real Outputs (307,511 customers)</w:t>
      </w:r>
    </w:p>
    <w:p/>
    <w:p>
      <w:pPr>
        <w:pStyle w:val="Heading1"/>
      </w:pPr>
      <w:r>
        <w:t>1. EXECUTIVE OVERVIEW</w:t>
      </w:r>
    </w:p>
    <w:p>
      <w:r>
        <w:t>This comprehensive analysis delivers an integrated economic capital framework with RAROC optimization across 307,511 real customer records extracted from actual Phase 3 and Phase 4 outputs.</w:t>
        <w:br/>
        <w:br/>
        <w:t>Project Scope:</w:t>
        <w:br/>
        <w:t>- Customer Records: 307,511 unique customers</w:t>
        <w:br/>
        <w:t>- Data Completeness: 99.36%</w:t>
        <w:br/>
        <w:t>- Features Analyzed: 390 advanced features</w:t>
        <w:br/>
        <w:t>- Risk Models: PD, LGD, EAD, RAROC, RWA, Economic Capital</w:t>
        <w:br/>
        <w:br/>
        <w:t>Business Impact:</w:t>
        <w:br/>
        <w:t>- Revenue Optimization: $1,678,386,639 incremental annual revenue</w:t>
        <w:br/>
        <w:t>- Revenue Uplift: 98.91%</w:t>
        <w:br/>
        <w:t>- Pricing Strategy: 100% INCREASE recommendations</w:t>
        <w:br/>
        <w:t>- Capital Efficiency: $48,750,501,195 economic capital management</w:t>
      </w:r>
    </w:p>
    <w:p>
      <w:pPr>
        <w:pStyle w:val="Heading1"/>
      </w:pPr>
      <w:r>
        <w:t>2. KEY FINDINGS - REAL DATA METRICS</w:t>
      </w:r>
    </w:p>
    <w:p>
      <w:pPr>
        <w:pStyle w:val="Heading2"/>
      </w:pPr>
      <w:r>
        <w:t>2.1 Revenue Impact Analysis</w:t>
      </w:r>
    </w:p>
    <w:p>
      <w:r>
        <w:rPr>
          <w:b/>
        </w:rPr>
        <w:t xml:space="preserve">Current Portfolio Revenue: </w:t>
      </w:r>
      <w:r>
        <w:t>$1,696,797,293</w:t>
        <w:br/>
      </w:r>
      <w:r>
        <w:rPr>
          <w:b/>
        </w:rPr>
        <w:t xml:space="preserve">Recommended Revenue: </w:t>
      </w:r>
      <w:r>
        <w:t>$3,375,183,932</w:t>
        <w:br/>
      </w:r>
      <w:r>
        <w:rPr>
          <w:b/>
        </w:rPr>
        <w:t xml:space="preserve">Incremental Uplift: </w:t>
      </w:r>
      <w:r>
        <w:t>$1,678,386,639 (98.91%)</w:t>
      </w:r>
    </w:p>
    <w:p>
      <w:pPr>
        <w:pStyle w:val="Heading2"/>
      </w:pPr>
      <w:r>
        <w:t>2.2 Pricing Optimization</w:t>
      </w:r>
    </w:p>
    <w:p>
      <w:r>
        <w:rPr>
          <w:b/>
        </w:rPr>
        <w:t xml:space="preserve">Average Current Price: </w:t>
      </w:r>
      <w:r>
        <w:t>$0.010230</w:t>
        <w:br/>
      </w:r>
      <w:r>
        <w:rPr>
          <w:b/>
        </w:rPr>
        <w:t xml:space="preserve">Average Recommended Price: </w:t>
      </w:r>
      <w:r>
        <w:t>$0.020074</w:t>
        <w:br/>
      </w:r>
      <w:r>
        <w:rPr>
          <w:b/>
        </w:rPr>
        <w:t xml:space="preserve">Average Price Adjustment: </w:t>
      </w:r>
      <w:r>
        <w:t>$0.009844 (+96.23%)</w:t>
      </w:r>
    </w:p>
    <w:p>
      <w:pPr>
        <w:pStyle w:val="Heading2"/>
      </w:pPr>
      <w:r>
        <w:t>2.3 Risk Profile (From Phase 3 Data)</w:t>
      </w:r>
    </w:p>
    <w:p>
      <w:r>
        <w:rPr>
          <w:b/>
        </w:rPr>
        <w:t xml:space="preserve">Average Probability of Default: </w:t>
      </w:r>
      <w:r>
        <w:t>0.067115</w:t>
        <w:br/>
      </w:r>
      <w:r>
        <w:rPr>
          <w:b/>
        </w:rPr>
        <w:t xml:space="preserve">Average Loss Given Default: </w:t>
      </w:r>
      <w:r>
        <w:t>0.389384</w:t>
        <w:br/>
      </w:r>
      <w:r>
        <w:rPr>
          <w:b/>
        </w:rPr>
        <w:t xml:space="preserve">Total Exposure at Default: </w:t>
      </w:r>
      <w:r>
        <w:t>$168,587,925,938</w:t>
      </w:r>
    </w:p>
    <w:p>
      <w:pPr>
        <w:pStyle w:val="Heading2"/>
      </w:pPr>
      <w:r>
        <w:t>2.4 Capital Framework</w:t>
      </w:r>
    </w:p>
    <w:p>
      <w:r>
        <w:rPr>
          <w:b/>
        </w:rPr>
        <w:t xml:space="preserve">Risk-Weighted Assets: </w:t>
      </w:r>
      <w:r>
        <w:t>$8,074,085,721</w:t>
        <w:br/>
      </w:r>
      <w:r>
        <w:rPr>
          <w:b/>
        </w:rPr>
        <w:t xml:space="preserve">Economic Capital (99.9% VaR): </w:t>
      </w:r>
      <w:r>
        <w:t>$48,750,501,195</w:t>
        <w:br/>
      </w:r>
      <w:r>
        <w:rPr>
          <w:b/>
        </w:rPr>
        <w:t xml:space="preserve">Capital Ratio: </w:t>
      </w:r>
      <w:r>
        <w:t>603.79%</w:t>
      </w:r>
    </w:p>
    <w:p>
      <w:pPr>
        <w:pStyle w:val="Heading1"/>
      </w:pPr>
      <w:r>
        <w:t>3. SEGMENT-LEVEL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Tier</w:t>
            </w:r>
          </w:p>
        </w:tc>
        <w:tc>
          <w:tcPr>
            <w:tcW w:type="dxa" w:w="1440"/>
          </w:tcPr>
          <w:p>
            <w:r>
              <w:t>Customers</w:t>
            </w:r>
          </w:p>
        </w:tc>
        <w:tc>
          <w:tcPr>
            <w:tcW w:type="dxa" w:w="1440"/>
          </w:tcPr>
          <w:p>
            <w:r>
              <w:t>Current Revenue</w:t>
            </w:r>
          </w:p>
        </w:tc>
        <w:tc>
          <w:tcPr>
            <w:tcW w:type="dxa" w:w="1440"/>
          </w:tcPr>
          <w:p>
            <w:r>
              <w:t>Recommended Revenue</w:t>
            </w:r>
          </w:p>
        </w:tc>
        <w:tc>
          <w:tcPr>
            <w:tcW w:type="dxa" w:w="1440"/>
          </w:tcPr>
          <w:p>
            <w:r>
              <w:t>Impact USD</w:t>
            </w:r>
          </w:p>
        </w:tc>
        <w:tc>
          <w:tcPr>
            <w:tcW w:type="dxa" w:w="1440"/>
          </w:tcPr>
          <w:p>
            <w:r>
              <w:t>Impact %</w:t>
            </w:r>
          </w:p>
        </w:tc>
      </w:tr>
      <w:tr>
        <w:tc>
          <w:tcPr>
            <w:tcW w:type="dxa" w:w="1440"/>
          </w:tcPr>
          <w:p>
            <w:r>
              <w:t>Very Low Risk</w:t>
            </w:r>
          </w:p>
        </w:tc>
        <w:tc>
          <w:tcPr>
            <w:tcW w:type="dxa" w:w="1440"/>
          </w:tcPr>
          <w:p>
            <w:r>
              <w:t>76,888</w:t>
            </w:r>
          </w:p>
        </w:tc>
        <w:tc>
          <w:tcPr>
            <w:tcW w:type="dxa" w:w="1440"/>
          </w:tcPr>
          <w:p>
            <w:r>
              <w:t>$412,534,559</w:t>
            </w:r>
          </w:p>
        </w:tc>
        <w:tc>
          <w:tcPr>
            <w:tcW w:type="dxa" w:w="1440"/>
          </w:tcPr>
          <w:p>
            <w:r>
              <w:t>$820,368,537</w:t>
            </w:r>
          </w:p>
        </w:tc>
        <w:tc>
          <w:tcPr>
            <w:tcW w:type="dxa" w:w="1440"/>
          </w:tcPr>
          <w:p>
            <w:r>
              <w:t>$407,833,978</w:t>
            </w:r>
          </w:p>
        </w:tc>
        <w:tc>
          <w:tcPr>
            <w:tcW w:type="dxa" w:w="1440"/>
          </w:tcPr>
          <w:p>
            <w:r>
              <w:t>98.86%</w:t>
            </w:r>
          </w:p>
        </w:tc>
      </w:tr>
      <w:tr>
        <w:tc>
          <w:tcPr>
            <w:tcW w:type="dxa" w:w="1440"/>
          </w:tcPr>
          <w:p>
            <w:r>
              <w:t>Low Risk</w:t>
            </w:r>
          </w:p>
        </w:tc>
        <w:tc>
          <w:tcPr>
            <w:tcW w:type="dxa" w:w="1440"/>
          </w:tcPr>
          <w:p>
            <w:r>
              <w:t>76,868</w:t>
            </w:r>
          </w:p>
        </w:tc>
        <w:tc>
          <w:tcPr>
            <w:tcW w:type="dxa" w:w="1440"/>
          </w:tcPr>
          <w:p>
            <w:r>
              <w:t>$425,586,270</w:t>
            </w:r>
          </w:p>
        </w:tc>
        <w:tc>
          <w:tcPr>
            <w:tcW w:type="dxa" w:w="1440"/>
          </w:tcPr>
          <w:p>
            <w:r>
              <w:t>$847,175,490</w:t>
            </w:r>
          </w:p>
        </w:tc>
        <w:tc>
          <w:tcPr>
            <w:tcW w:type="dxa" w:w="1440"/>
          </w:tcPr>
          <w:p>
            <w:r>
              <w:t>$421,589,219</w:t>
            </w:r>
          </w:p>
        </w:tc>
        <w:tc>
          <w:tcPr>
            <w:tcW w:type="dxa" w:w="1440"/>
          </w:tcPr>
          <w:p>
            <w:r>
              <w:t>99.06%</w:t>
            </w:r>
          </w:p>
        </w:tc>
      </w:tr>
      <w:tr>
        <w:tc>
          <w:tcPr>
            <w:tcW w:type="dxa" w:w="1440"/>
          </w:tcPr>
          <w:p>
            <w:r>
              <w:t>Moderate Risk</w:t>
            </w:r>
          </w:p>
        </w:tc>
        <w:tc>
          <w:tcPr>
            <w:tcW w:type="dxa" w:w="1440"/>
          </w:tcPr>
          <w:p>
            <w:r>
              <w:t>76,877</w:t>
            </w:r>
          </w:p>
        </w:tc>
        <w:tc>
          <w:tcPr>
            <w:tcW w:type="dxa" w:w="1440"/>
          </w:tcPr>
          <w:p>
            <w:r>
              <w:t>$433,317,789</w:t>
            </w:r>
          </w:p>
        </w:tc>
        <w:tc>
          <w:tcPr>
            <w:tcW w:type="dxa" w:w="1440"/>
          </w:tcPr>
          <w:p>
            <w:r>
              <w:t>$862,039,515</w:t>
            </w:r>
          </w:p>
        </w:tc>
        <w:tc>
          <w:tcPr>
            <w:tcW w:type="dxa" w:w="1440"/>
          </w:tcPr>
          <w:p>
            <w:r>
              <w:t>$428,721,726</w:t>
            </w:r>
          </w:p>
        </w:tc>
        <w:tc>
          <w:tcPr>
            <w:tcW w:type="dxa" w:w="1440"/>
          </w:tcPr>
          <w:p>
            <w:r>
              <w:t>98.94%</w:t>
            </w:r>
          </w:p>
        </w:tc>
      </w:tr>
      <w:tr>
        <w:tc>
          <w:tcPr>
            <w:tcW w:type="dxa" w:w="1440"/>
          </w:tcPr>
          <w:p>
            <w:r>
              <w:t>High Risk</w:t>
            </w:r>
          </w:p>
        </w:tc>
        <w:tc>
          <w:tcPr>
            <w:tcW w:type="dxa" w:w="1440"/>
          </w:tcPr>
          <w:p>
            <w:r>
              <w:t>76,878</w:t>
            </w:r>
          </w:p>
        </w:tc>
        <w:tc>
          <w:tcPr>
            <w:tcW w:type="dxa" w:w="1440"/>
          </w:tcPr>
          <w:p>
            <w:r>
              <w:t>$425,358,675</w:t>
            </w:r>
          </w:p>
        </w:tc>
        <w:tc>
          <w:tcPr>
            <w:tcW w:type="dxa" w:w="1440"/>
          </w:tcPr>
          <w:p>
            <w:r>
              <w:t>$845,600,390</w:t>
            </w:r>
          </w:p>
        </w:tc>
        <w:tc>
          <w:tcPr>
            <w:tcW w:type="dxa" w:w="1440"/>
          </w:tcPr>
          <w:p>
            <w:r>
              <w:t>$420,241,716</w:t>
            </w:r>
          </w:p>
        </w:tc>
        <w:tc>
          <w:tcPr>
            <w:tcW w:type="dxa" w:w="1440"/>
          </w:tcPr>
          <w:p>
            <w:r>
              <w:t>98.80%</w:t>
            </w:r>
          </w:p>
        </w:tc>
      </w:tr>
    </w:tbl>
    <w:p>
      <w:pPr>
        <w:pStyle w:val="Heading1"/>
      </w:pPr>
      <w:r>
        <w:t>4. CUSTOMER DISTRIBUTION BY RISK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Tier</w:t>
            </w:r>
          </w:p>
        </w:tc>
        <w:tc>
          <w:tcPr>
            <w:tcW w:type="dxa" w:w="2880"/>
          </w:tcPr>
          <w:p>
            <w:r>
              <w:t>Customer Count</w:t>
            </w:r>
          </w:p>
        </w:tc>
        <w:tc>
          <w:tcPr>
            <w:tcW w:type="dxa" w:w="2880"/>
          </w:tcPr>
          <w:p>
            <w:r>
              <w:t>Portfolio %</w:t>
            </w:r>
          </w:p>
        </w:tc>
      </w:tr>
      <w:tr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76,878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</w:tr>
      <w:tr>
        <w:tc>
          <w:tcPr>
            <w:tcW w:type="dxa" w:w="2880"/>
          </w:tcPr>
          <w:p>
            <w:r>
              <w:t>Low Risk</w:t>
            </w:r>
          </w:p>
        </w:tc>
        <w:tc>
          <w:tcPr>
            <w:tcW w:type="dxa" w:w="2880"/>
          </w:tcPr>
          <w:p>
            <w:r>
              <w:t>76,868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</w:tr>
      <w:tr>
        <w:tc>
          <w:tcPr>
            <w:tcW w:type="dxa" w:w="2880"/>
          </w:tcPr>
          <w:p>
            <w:r>
              <w:t>Moderate Risk</w:t>
            </w:r>
          </w:p>
        </w:tc>
        <w:tc>
          <w:tcPr>
            <w:tcW w:type="dxa" w:w="2880"/>
          </w:tcPr>
          <w:p>
            <w:r>
              <w:t>76,877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</w:tr>
      <w:tr>
        <w:tc>
          <w:tcPr>
            <w:tcW w:type="dxa" w:w="2880"/>
          </w:tcPr>
          <w:p>
            <w:r>
              <w:t>Very Low Risk</w:t>
            </w:r>
          </w:p>
        </w:tc>
        <w:tc>
          <w:tcPr>
            <w:tcW w:type="dxa" w:w="2880"/>
          </w:tcPr>
          <w:p>
            <w:r>
              <w:t>76,888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</w:tr>
    </w:tbl>
    <w:p>
      <w:pPr>
        <w:pStyle w:val="Heading1"/>
      </w:pPr>
      <w:r>
        <w:t>5. GLOBAL FRAMEWORK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JPMorgan Chase</w:t>
            </w:r>
          </w:p>
        </w:tc>
        <w:tc>
          <w:tcPr>
            <w:tcW w:type="dxa" w:w="2160"/>
          </w:tcPr>
          <w:p>
            <w:r>
              <w:t>Data Completeness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99.36%</w:t>
            </w:r>
          </w:p>
        </w:tc>
      </w:tr>
      <w:tr>
        <w:tc>
          <w:tcPr>
            <w:tcW w:type="dxa" w:w="2160"/>
          </w:tcPr>
          <w:p>
            <w:r>
              <w:t>Bank of America</w:t>
            </w:r>
          </w:p>
        </w:tc>
        <w:tc>
          <w:tcPr>
            <w:tcW w:type="dxa" w:w="2160"/>
          </w:tcPr>
          <w:p>
            <w:r>
              <w:t>Risk Segmentation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 risk tiers</w:t>
            </w:r>
          </w:p>
        </w:tc>
      </w:tr>
      <w:tr>
        <w:tc>
          <w:tcPr>
            <w:tcW w:type="dxa" w:w="2160"/>
          </w:tcPr>
          <w:p>
            <w:r>
              <w:t>Citigroup</w:t>
            </w:r>
          </w:p>
        </w:tc>
        <w:tc>
          <w:tcPr>
            <w:tcW w:type="dxa" w:w="2160"/>
          </w:tcPr>
          <w:p>
            <w:r>
              <w:t>RAROC Optimization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307,511 customers</w:t>
            </w:r>
          </w:p>
        </w:tc>
      </w:tr>
      <w:tr>
        <w:tc>
          <w:tcPr>
            <w:tcW w:type="dxa" w:w="2160"/>
          </w:tcPr>
          <w:p>
            <w:r>
              <w:t>Wells Fargo</w:t>
            </w:r>
          </w:p>
        </w:tc>
        <w:tc>
          <w:tcPr>
            <w:tcW w:type="dxa" w:w="2160"/>
          </w:tcPr>
          <w:p>
            <w:r>
              <w:t>Capital Framework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Capital Ratio: 603.79%</w:t>
            </w:r>
          </w:p>
        </w:tc>
      </w:tr>
      <w:tr>
        <w:tc>
          <w:tcPr>
            <w:tcW w:type="dxa" w:w="2160"/>
          </w:tcPr>
          <w:p>
            <w:r>
              <w:t>HSBC</w:t>
            </w:r>
          </w:p>
        </w:tc>
        <w:tc>
          <w:tcPr>
            <w:tcW w:type="dxa" w:w="2160"/>
          </w:tcPr>
          <w:p>
            <w:r>
              <w:t>Regulatory Compliance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bounds validated</w:t>
            </w:r>
          </w:p>
        </w:tc>
      </w:tr>
    </w:tbl>
    <w:p>
      <w:pPr>
        <w:pStyle w:val="Heading1"/>
      </w:pPr>
      <w:r>
        <w:t>6. SMART RECOMMENDATIONS</w:t>
      </w:r>
    </w:p>
    <w:p>
      <w:pPr>
        <w:pStyle w:val="Heading2"/>
      </w:pPr>
      <w:r>
        <w:t>6.1 Deploy Pricing Recommendations (Days 0-30)</w:t>
      </w:r>
    </w:p>
    <w:p>
      <w:r>
        <w:t>SPECIFIC: Implement pricing for 307,511 customers from Phase 4 output</w:t>
        <w:br/>
        <w:t>MEASURABLE: Achieve $1,678,386,639 incremental revenue (98.91%)</w:t>
        <w:br/>
        <w:t>ACHIEVABLE: All recommendations pre-calculated in Phase4_Pricing_Recommendations.csv</w:t>
        <w:br/>
        <w:t>RELEVANT: Direct revenue optimization</w:t>
        <w:br/>
        <w:t>TIME-BOUND: 30-day implementation window</w:t>
      </w:r>
    </w:p>
    <w:p>
      <w:pPr>
        <w:pStyle w:val="Heading2"/>
      </w:pPr>
      <w:r>
        <w:t>6.2 Capital Optimization (Days 30-60)</w:t>
      </w:r>
    </w:p>
    <w:p>
      <w:r>
        <w:t>SPECIFIC: Deploy capital allocation from Phase4_Capital_Allocation.csv</w:t>
        <w:br/>
        <w:t>MEASURABLE: Capital Ratio of 603.79%</w:t>
        <w:br/>
        <w:t>ACHIEVABLE: Allocation pre-calculated for 4 risk tiers</w:t>
        <w:br/>
        <w:t>RELEVANT: Capital efficiency improvement</w:t>
        <w:br/>
        <w:t>TIME-BOUND: 60-day cycle</w:t>
      </w:r>
    </w:p>
    <w:p>
      <w:pPr>
        <w:pStyle w:val="Heading2"/>
      </w:pPr>
      <w:r>
        <w:t>6.3 Risk Monitoring (Days 45-90)</w:t>
      </w:r>
    </w:p>
    <w:p>
      <w:r>
        <w:t>SPECIFIC: Monitor 390 features from Phase 3 enriched data</w:t>
        <w:br/>
        <w:t>MEASURABLE: Daily tracking dashboard</w:t>
        <w:br/>
        <w:t>ACHIEVABLE: Features already calculated</w:t>
        <w:br/>
        <w:t>RELEVANT: Real-time risk management</w:t>
        <w:br/>
        <w:t>TIME-BOUND: 90-day stabilization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