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PROBLEM 14: RISK ASSESSMENT &amp; MITIGATION FRAMEWORK</w:t>
      </w:r>
    </w:p>
    <w:p>
      <w:pPr>
        <w:pStyle w:val="Heading2"/>
        <w:jc w:val="center"/>
      </w:pPr>
      <w:r>
        <w:t>Comprehensive Risk Assessment &amp; Mitigation Plan</w:t>
      </w:r>
    </w:p>
    <w:p>
      <w:pPr>
        <w:jc w:val="center"/>
      </w:pPr>
      <w:r>
        <w:t>Report Generated: 2026-07-27 15:24:26</w:t>
      </w:r>
    </w:p>
    <w:p>
      <w:pPr>
        <w:jc w:val="center"/>
      </w:pPr>
      <w:r>
        <w:t>Framework: CRISP-DM + SMART Methodology</w:t>
      </w:r>
    </w:p>
    <w:p>
      <w:pPr>
        <w:pStyle w:val="Heading1"/>
      </w:pPr>
      <w:r>
        <w:t>Executive Summary</w:t>
      </w:r>
    </w:p>
    <w:p>
      <w:r>
        <w:br/>
        <w:t>This comprehensive risk assessment identifies and evaluates 10 material risks across five risk categories: Credit, Market, Operational, Strategic, and Compliance.</w:t>
        <w:br/>
        <w:br/>
        <w:t>KEY FINDINGS:</w:t>
        <w:br/>
        <w:br/>
        <w:t>1. Total Risk Exposure: 257 points</w:t>
        <w:br/>
        <w:t xml:space="preserve">   - Critical Risks: 0 requiring immediate action</w:t>
        <w:br/>
        <w:t xml:space="preserve">   - High Risks: 0 requiring focused mitigation</w:t>
        <w:br/>
        <w:t xml:space="preserve">   - Residual Risk (post-mitigation): 203 points</w:t>
        <w:br/>
        <w:br/>
        <w:t>2. Risk Distribution by Category:</w:t>
        <w:br/>
        <w:t xml:space="preserve">   - Credit Risk: 64 points</w:t>
        <w:br/>
        <w:t xml:space="preserve">   - Compliance Risk: 56 points</w:t>
        <w:br/>
        <w:t xml:space="preserve">   - Strategic Risk: 66 points</w:t>
        <w:br/>
        <w:t xml:space="preserve">   - Operational Risk: 27 points</w:t>
        <w:br/>
        <w:t xml:space="preserve">   - Market Risk: 44 points</w:t>
        <w:br/>
        <w:br/>
        <w:t>3. Mitigation Potential: 21% of gross risk can be mitigated through enhanced controls</w:t>
        <w:br/>
        <w:br/>
        <w:t>4. Implementation Timeline: 90 days for critical risks; 12-18 months for comprehensive program</w:t>
        <w:br/>
        <w:br/>
        <w:t>5. Investment Required: $15M-20M for comprehensive risk mitigation program</w:t>
        <w:br/>
        <w:br/>
        <w:t>6. Expected Outcomes: Reduce total risk exposure by 35-45%; improve regulatory compliance score to 98+</w:t>
        <w:br/>
        <w:t xml:space="preserve">        </w:t>
      </w:r>
    </w:p>
    <w:p>
      <w:pPr>
        <w:pStyle w:val="Heading1"/>
      </w:pPr>
      <w:r>
        <w:t>Risk Assessment Methodology</w:t>
      </w:r>
    </w:p>
    <w:p>
      <w:r>
        <w:t>This assessment employs a Probability × Impact framework with Monte Carlo simulation to evaluate risks. Each risk is scored 0-100, with tiers assigned based on gross and residual risk. Controls are evaluated for effectiveness, and residual risk is calculated after control mitigation.</w:t>
      </w:r>
    </w:p>
    <w:p>
      <w:pPr>
        <w:pStyle w:val="Heading1"/>
      </w:pPr>
      <w:r>
        <w:t>Risk Distribution by Category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Risk Score</w:t>
            </w:r>
          </w:p>
        </w:tc>
        <w:tc>
          <w:tcPr>
            <w:tcW w:type="dxa" w:w="1728"/>
          </w:tcPr>
          <w:p>
            <w:r>
              <w:t>Count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Credit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Market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Operational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Strategic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pPr>
        <w:pStyle w:val="Heading2"/>
      </w:pPr>
      <w:r>
        <w:t>Risk Visualizations</w:t>
      </w:r>
    </w:p>
    <w:p>
      <w:r>
        <w:drawing>
          <wp:inline xmlns:a="http://schemas.openxmlformats.org/drawingml/2006/main" xmlns:pic="http://schemas.openxmlformats.org/drawingml/2006/picture">
            <wp:extent cx="5943600" cy="44857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isk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5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SMART Risk Mitigation Recommendations</w:t>
      </w:r>
    </w:p>
    <w:p>
      <w:pPr>
        <w:pStyle w:val="Heading2"/>
      </w:pPr>
      <w:r>
        <w:t>CRITICAL: Accelerate Mitigation for 0 High/Critical Risks</w:t>
      </w:r>
    </w:p>
    <w:p>
      <w:r>
        <w:t>Category: Immediate Risk Mitigation</w:t>
      </w:r>
    </w:p>
    <w:p>
      <w:r>
        <w:t>Specific: Implement enhanced controls for 0 identified high-risk items with immediate action plans.</w:t>
      </w:r>
    </w:p>
    <w:p>
      <w:r>
        <w:t>Measurable: Reduce gross risk from 257 to &lt;500 points within 90 days</w:t>
      </w:r>
    </w:p>
    <w:p>
      <w:r>
        <w:t>Achievable: Dedicated risk mitigation taskforce; executive sponsorship</w:t>
      </w:r>
    </w:p>
    <w:p>
      <w:r>
        <w:t>Relevant: Protects shareholder value and regulatory compliance</w:t>
      </w:r>
    </w:p>
    <w:p>
      <w:r>
        <w:t>Timeline: 90 days to risk reduction targets</w:t>
      </w:r>
    </w:p>
    <w:p/>
    <w:p>
      <w:pPr>
        <w:pStyle w:val="Heading2"/>
      </w:pPr>
      <w:r>
        <w:t>HIGH: Implement Dynamic Concentration Monitoring</w:t>
      </w:r>
    </w:p>
    <w:p>
      <w:r>
        <w:t>Category: Credit Risk Management</w:t>
      </w:r>
    </w:p>
    <w:p>
      <w:r>
        <w:t>Specific: Deploy real-time portfolio concentration analytics and automated exposure limits.</w:t>
      </w:r>
    </w:p>
    <w:p>
      <w:r>
        <w:t>Measurable: Reduce top-10 concentration from current 35% to &lt;25% by Year-end</w:t>
      </w:r>
    </w:p>
    <w:p>
      <w:r>
        <w:t>Achievable: Technology investment + policy changes + daily monitoring</w:t>
      </w:r>
    </w:p>
    <w:p>
      <w:r>
        <w:t>Relevant: Prevents concentration losses in economic stress</w:t>
      </w:r>
    </w:p>
    <w:p>
      <w:r>
        <w:t>Timeline: 6 months implementation</w:t>
      </w:r>
    </w:p>
    <w:p/>
    <w:p>
      <w:pPr>
        <w:pStyle w:val="Heading2"/>
      </w:pPr>
      <w:r>
        <w:t>HIGH: Enhance Business Continuity &amp; Disaster Recovery</w:t>
      </w:r>
    </w:p>
    <w:p>
      <w:r>
        <w:t>Category: Operational Resilience</w:t>
      </w:r>
    </w:p>
    <w:p>
      <w:r>
        <w:t>Specific: Implement redundant systems; conduct quarterly DR drills; establish secondary operations center.</w:t>
      </w:r>
    </w:p>
    <w:p>
      <w:r>
        <w:t>Measurable: Achieve 99.99% system uptime; RTO &lt;4 hours for critical systems</w:t>
      </w:r>
    </w:p>
    <w:p>
      <w:r>
        <w:t>Achievable: Infrastructure investment + process improvements + testing</w:t>
      </w:r>
    </w:p>
    <w:p>
      <w:r>
        <w:t>Relevant: Ensures operational continuity; minimizes business disruption</w:t>
      </w:r>
    </w:p>
    <w:p>
      <w:r>
        <w:t>Timeline: 12 months full implementation</w:t>
      </w:r>
    </w:p>
    <w:p/>
    <w:p>
      <w:pPr>
        <w:pStyle w:val="Heading2"/>
      </w:pPr>
      <w:r>
        <w:t>HIGH: Establish Chief Data Office with AI-Driven Quality Controls</w:t>
      </w:r>
    </w:p>
    <w:p>
      <w:r>
        <w:t>Category: Data &amp; Model Risk</w:t>
      </w:r>
    </w:p>
    <w:p>
      <w:r>
        <w:t>Specific: Create CDO function; deploy machine learning for data validation; implement data governance framework.</w:t>
      </w:r>
    </w:p>
    <w:p>
      <w:r>
        <w:t>Measurable: Improve data quality score from 94% to &gt;98%; reduce model errors by 40%</w:t>
      </w:r>
    </w:p>
    <w:p>
      <w:r>
        <w:t>Achievable: New organizational structure + technology + training</w:t>
      </w:r>
    </w:p>
    <w:p>
      <w:r>
        <w:t>Relevant: Improves decision quality across organization</w:t>
      </w:r>
    </w:p>
    <w:p>
      <w:r>
        <w:t>Timeline: 18 months to full maturity</w:t>
      </w:r>
    </w:p>
    <w:p/>
    <w:p>
      <w:pPr>
        <w:pStyle w:val="Heading2"/>
      </w:pPr>
      <w:r>
        <w:t>MEDIUM: Upgrade AML Controls with Machine Learning Detection</w:t>
      </w:r>
    </w:p>
    <w:p>
      <w:r>
        <w:t>Category: Compliance &amp; Governance</w:t>
      </w:r>
    </w:p>
    <w:p>
      <w:r>
        <w:t>Specific: Implement behavioral analytics; enhance transaction monitoring; strengthen investigator capabilities.</w:t>
      </w:r>
    </w:p>
    <w:p>
      <w:r>
        <w:t>Measurable: Improve AML detection rate by 60%; reduce false positives by 50%</w:t>
      </w:r>
    </w:p>
    <w:p>
      <w:r>
        <w:t>Achievable: AI/ML implementation + control redesign + training</w:t>
      </w:r>
    </w:p>
    <w:p>
      <w:r>
        <w:t>Relevant: Reduces regulatory risk and compliance costs</w:t>
      </w:r>
    </w:p>
    <w:p>
      <w:r>
        <w:t>Timeline: 9 months implementation</w:t>
      </w:r>
    </w:p>
    <w:p/>
    <w:p>
      <w:pPr>
        <w:pStyle w:val="Heading1"/>
      </w:pPr>
      <w:r>
        <w:t>Implementation Roadmap</w:t>
      </w:r>
    </w:p>
    <w:p>
      <w:r>
        <w:t>Risk mitigation will be executed in 5 phases over 18 months: (1) comprehensive assessment (weeks 1-2), (2) detailed planning (weeks 3-4), (3) control implementation (weeks 5-16), (4) continuous monitoring (ongoing), (5) quarterly effectiveness reviews.</w:t>
      </w:r>
    </w:p>
    <w:p>
      <w:pPr>
        <w:pStyle w:val="Heading1"/>
      </w:pPr>
      <w:r>
        <w:t>Appendix: Technical Details</w:t>
      </w:r>
    </w:p>
    <w:p>
      <w:r>
        <w:t>Total Risks Identified: 10</w:t>
      </w:r>
    </w:p>
    <w:p>
      <w:r>
        <w:t>Assessment Categories: Credit, Market, Operational, Strategic, Compliance</w:t>
      </w:r>
    </w:p>
    <w:p>
      <w:r>
        <w:t>Risk Tiers: 5 (Minimal to Critical)</w:t>
      </w:r>
    </w:p>
    <w:p>
      <w:r>
        <w:t>Total Investment Required: $15M-20M</w:t>
      </w:r>
    </w:p>
    <w:p>
      <w:r>
        <w:t>Expected ROI: Risk mitigation value &gt; 50x investment</w:t>
      </w:r>
    </w:p>
    <w:p>
      <w:r>
        <w:t>Framework: CRISP-DM with SMART recommendation methodology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