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13: STRATEGY &amp; DECISION INTELLIGENCE</w:t>
      </w:r>
    </w:p>
    <w:p>
      <w:pPr>
        <w:pStyle w:val="Heading2"/>
        <w:jc w:val="center"/>
      </w:pPr>
      <w:r>
        <w:t>3-Year Strategic Plan &amp; Scenario Analysis</w:t>
      </w:r>
    </w:p>
    <w:p>
      <w:pPr>
        <w:jc w:val="center"/>
      </w:pPr>
      <w:r>
        <w:t>Report Generated: 2026-07-27 15:21:53</w:t>
      </w:r>
    </w:p>
    <w:p>
      <w:pPr>
        <w:jc w:val="center"/>
      </w:pPr>
      <w:r>
        <w:t>Framework: CRISP-DM + SMART Methodology</w:t>
      </w:r>
    </w:p>
    <w:p>
      <w:pPr>
        <w:pStyle w:val="Heading1"/>
      </w:pPr>
      <w:r>
        <w:t>Executive Summary</w:t>
      </w:r>
    </w:p>
    <w:p>
      <w:r>
        <w:br/>
        <w:t>This strategic intelligence report presents a comprehensive 3-year strategy framework based on scenario planning and decision analysis. Five distinct strategic scenarios have been modeled to evaluate different growth and market positioning alternatives.</w:t>
        <w:br/>
        <w:br/>
        <w:t>KEY STRATEGIC FINDINGS:</w:t>
        <w:br/>
        <w:br/>
        <w:t>1. Recommended Strategy: Aggressive</w:t>
        <w:br/>
        <w:t xml:space="preserve">   - Expected NPV: $2.6B</w:t>
        <w:br/>
        <w:t xml:space="preserve">   - 3-Year Revenue Target: $4.1B</w:t>
        <w:br/>
        <w:t xml:space="preserve">   - Margin Improvement: +6.0%</w:t>
        <w:br/>
        <w:t xml:space="preserve">   - Probability of Success: 15%</w:t>
        <w:br/>
        <w:br/>
        <w:t>2. Expected Value (Probability-Weighted): $2.0B</w:t>
        <w:br/>
        <w:br/>
        <w:t>3. Strategic Pillars:</w:t>
        <w:br/>
        <w:t xml:space="preserve">   - Product Excellence (AI/ML innovation): $30M investment</w:t>
        <w:br/>
        <w:t xml:space="preserve">   - Market Expansion (Geographic diversification): $25M investment</w:t>
        <w:br/>
        <w:t xml:space="preserve">   - Risk Management (Advanced controls): $10M investment</w:t>
        <w:br/>
        <w:t xml:space="preserve">   - Digital Transformation (Tech modernization): $20M investment</w:t>
        <w:br/>
        <w:t xml:space="preserve">   - Operational Efficiency (Process automation): $15M investment</w:t>
        <w:br/>
        <w:br/>
        <w:t>4. Implementation Timeline: 36 months with quarterly milestones</w:t>
        <w:br/>
        <w:br/>
        <w:t>5. Success Metrics: Revenue target $4.1B | Margin 28.0% | Market Share growth</w:t>
        <w:br/>
        <w:t xml:space="preserve">        </w:t>
      </w:r>
    </w:p>
    <w:p>
      <w:pPr>
        <w:pStyle w:val="Heading1"/>
      </w:pPr>
      <w:r>
        <w:t>Strategic Context</w:t>
      </w:r>
    </w:p>
    <w:p>
      <w:r>
        <w:t>The enterprise credit portfolio faces evolving market dynamics, competitive pressures, and technological disruption. This strategic plan provides a data-driven roadmap to maximize shareholder value while managing risk and positioning for long-term market leadership.</w:t>
      </w:r>
    </w:p>
    <w:p>
      <w:pPr>
        <w:pStyle w:val="Heading1"/>
      </w:pPr>
      <w:r>
        <w:t>Scenario Analysis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NPV ($B)</w:t>
            </w:r>
          </w:p>
        </w:tc>
        <w:tc>
          <w:tcPr>
            <w:tcW w:type="dxa" w:w="1234"/>
          </w:tcPr>
          <w:p>
            <w:r>
              <w:t>Revenue ($B)</w:t>
            </w:r>
          </w:p>
        </w:tc>
        <w:tc>
          <w:tcPr>
            <w:tcW w:type="dxa" w:w="1234"/>
          </w:tcPr>
          <w:p>
            <w:r>
              <w:t>Margin</w:t>
            </w:r>
          </w:p>
        </w:tc>
        <w:tc>
          <w:tcPr>
            <w:tcW w:type="dxa" w:w="1234"/>
          </w:tcPr>
          <w:p>
            <w:r>
              <w:t>Risk</w:t>
            </w:r>
          </w:p>
        </w:tc>
        <w:tc>
          <w:tcPr>
            <w:tcW w:type="dxa" w:w="1234"/>
          </w:tcPr>
          <w:p>
            <w:r>
              <w:t>Probability</w:t>
            </w:r>
          </w:p>
        </w:tc>
        <w:tc>
          <w:tcPr>
            <w:tcW w:type="dxa" w:w="1234"/>
          </w:tcPr>
          <w:p>
            <w:r>
              <w:t>Risk-Adj Return</w:t>
            </w:r>
          </w:p>
        </w:tc>
      </w:tr>
      <w:tr>
        <w:tc>
          <w:tcPr>
            <w:tcW w:type="dxa" w:w="1234"/>
          </w:tcPr>
          <w:p>
            <w:r>
              <w:t>Base Case</w:t>
            </w:r>
          </w:p>
        </w:tc>
        <w:tc>
          <w:tcPr>
            <w:tcW w:type="dxa" w:w="1234"/>
          </w:tcPr>
          <w:p>
            <w:r>
              <w:t>$1.5</w:t>
            </w:r>
          </w:p>
        </w:tc>
        <w:tc>
          <w:tcPr>
            <w:tcW w:type="dxa" w:w="1234"/>
          </w:tcPr>
          <w:p>
            <w:r>
              <w:t>$2.6</w:t>
            </w:r>
          </w:p>
        </w:tc>
        <w:tc>
          <w:tcPr>
            <w:tcW w:type="dxa" w:w="1234"/>
          </w:tcPr>
          <w:p>
            <w:r>
              <w:t>22.0%</w:t>
            </w:r>
          </w:p>
        </w:tc>
        <w:tc>
          <w:tcPr>
            <w:tcW w:type="dxa" w:w="1234"/>
          </w:tcPr>
          <w:p>
            <w:r>
              <w:t>12.0%</w:t>
            </w:r>
          </w:p>
        </w:tc>
        <w:tc>
          <w:tcPr>
            <w:tcW w:type="dxa" w:w="1234"/>
          </w:tcPr>
          <w:p>
            <w:r>
              <w:t>30%</w:t>
            </w:r>
          </w:p>
        </w:tc>
        <w:tc>
          <w:tcPr>
            <w:tcW w:type="dxa" w:w="1234"/>
          </w:tcPr>
          <w:p>
            <w:r>
              <w:t>11.76</w:t>
            </w:r>
          </w:p>
        </w:tc>
      </w:tr>
      <w:tr>
        <w:tc>
          <w:tcPr>
            <w:tcW w:type="dxa" w:w="1234"/>
          </w:tcPr>
          <w:p>
            <w:r>
              <w:t>Optimistic</w:t>
            </w:r>
          </w:p>
        </w:tc>
        <w:tc>
          <w:tcPr>
            <w:tcW w:type="dxa" w:w="1234"/>
          </w:tcPr>
          <w:p>
            <w:r>
              <w:t>$2.4</w:t>
            </w:r>
          </w:p>
        </w:tc>
        <w:tc>
          <w:tcPr>
            <w:tcW w:type="dxa" w:w="1234"/>
          </w:tcPr>
          <w:p>
            <w:r>
              <w:t>$3.2</w:t>
            </w:r>
          </w:p>
        </w:tc>
        <w:tc>
          <w:tcPr>
            <w:tcW w:type="dxa" w:w="1234"/>
          </w:tcPr>
          <w:p>
            <w:r>
              <w:t>31.0%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40.79</w:t>
            </w:r>
          </w:p>
        </w:tc>
      </w:tr>
      <w:tr>
        <w:tc>
          <w:tcPr>
            <w:tcW w:type="dxa" w:w="1234"/>
          </w:tcPr>
          <w:p>
            <w:r>
              <w:t>Aggressive</w:t>
            </w:r>
          </w:p>
        </w:tc>
        <w:tc>
          <w:tcPr>
            <w:tcW w:type="dxa" w:w="1234"/>
          </w:tcPr>
          <w:p>
            <w:r>
              <w:t>$2.6</w:t>
            </w:r>
          </w:p>
        </w:tc>
        <w:tc>
          <w:tcPr>
            <w:tcW w:type="dxa" w:w="1234"/>
          </w:tcPr>
          <w:p>
            <w:r>
              <w:t>$4.1</w:t>
            </w:r>
          </w:p>
        </w:tc>
        <w:tc>
          <w:tcPr>
            <w:tcW w:type="dxa" w:w="1234"/>
          </w:tcPr>
          <w:p>
            <w:r>
              <w:t>28.0%</w:t>
            </w:r>
          </w:p>
        </w:tc>
        <w:tc>
          <w:tcPr>
            <w:tcW w:type="dxa" w:w="1234"/>
          </w:tcPr>
          <w:p>
            <w:r>
              <w:t>42.0%</w:t>
            </w:r>
          </w:p>
        </w:tc>
        <w:tc>
          <w:tcPr>
            <w:tcW w:type="dxa" w:w="1234"/>
          </w:tcPr>
          <w:p>
            <w:r>
              <w:t>15%</w:t>
            </w:r>
          </w:p>
        </w:tc>
        <w:tc>
          <w:tcPr>
            <w:tcW w:type="dxa" w:w="1234"/>
          </w:tcPr>
          <w:p>
            <w:r>
              <w:t>6.12</w:t>
            </w:r>
          </w:p>
        </w:tc>
      </w:tr>
      <w:tr>
        <w:tc>
          <w:tcPr>
            <w:tcW w:type="dxa" w:w="1234"/>
          </w:tcPr>
          <w:p>
            <w:r>
              <w:t>Conservative</w:t>
            </w:r>
          </w:p>
        </w:tc>
        <w:tc>
          <w:tcPr>
            <w:tcW w:type="dxa" w:w="1234"/>
          </w:tcPr>
          <w:p>
            <w:r>
              <w:t>$2.2</w:t>
            </w:r>
          </w:p>
        </w:tc>
        <w:tc>
          <w:tcPr>
            <w:tcW w:type="dxa" w:w="1234"/>
          </w:tcPr>
          <w:p>
            <w:r>
              <w:t>$2.4</w:t>
            </w:r>
          </w:p>
        </w:tc>
        <w:tc>
          <w:tcPr>
            <w:tcW w:type="dxa" w:w="1234"/>
          </w:tcPr>
          <w:p>
            <w:r>
              <w:t>34.0%</w:t>
            </w:r>
          </w:p>
        </w:tc>
        <w:tc>
          <w:tcPr>
            <w:tcW w:type="dxa" w:w="1234"/>
          </w:tcPr>
          <w:p>
            <w:r>
              <w:t>5.0%</w:t>
            </w:r>
          </w:p>
        </w:tc>
        <w:tc>
          <w:tcPr>
            <w:tcW w:type="dxa" w:w="1234"/>
          </w:tcPr>
          <w:p>
            <w:r>
              <w:t>20%</w:t>
            </w:r>
          </w:p>
        </w:tc>
        <w:tc>
          <w:tcPr>
            <w:tcW w:type="dxa" w:w="1234"/>
          </w:tcPr>
          <w:p>
            <w:r>
              <w:t>37.20</w:t>
            </w:r>
          </w:p>
        </w:tc>
      </w:tr>
      <w:tr>
        <w:tc>
          <w:tcPr>
            <w:tcW w:type="dxa" w:w="1234"/>
          </w:tcPr>
          <w:p>
            <w:r>
              <w:t>Disruption</w:t>
            </w:r>
          </w:p>
        </w:tc>
        <w:tc>
          <w:tcPr>
            <w:tcW w:type="dxa" w:w="1234"/>
          </w:tcPr>
          <w:p>
            <w:r>
              <w:t>$1.2</w:t>
            </w:r>
          </w:p>
        </w:tc>
        <w:tc>
          <w:tcPr>
            <w:tcW w:type="dxa" w:w="1234"/>
          </w:tcPr>
          <w:p>
            <w:r>
              <w:t>$2.9</w:t>
            </w:r>
          </w:p>
        </w:tc>
        <w:tc>
          <w:tcPr>
            <w:tcW w:type="dxa" w:w="1234"/>
          </w:tcPr>
          <w:p>
            <w:r>
              <w:t>16.0%</w:t>
            </w:r>
          </w:p>
        </w:tc>
        <w:tc>
          <w:tcPr>
            <w:tcW w:type="dxa" w:w="1234"/>
          </w:tcPr>
          <w:p>
            <w:r>
              <w:t>27.0%</w:t>
            </w:r>
          </w:p>
        </w:tc>
        <w:tc>
          <w:tcPr>
            <w:tcW w:type="dxa" w:w="1234"/>
          </w:tcPr>
          <w:p>
            <w:r>
              <w:t>10%</w:t>
            </w:r>
          </w:p>
        </w:tc>
        <w:tc>
          <w:tcPr>
            <w:tcW w:type="dxa" w:w="1234"/>
          </w:tcPr>
          <w:p>
            <w:r>
              <w:t>4.27</w:t>
            </w:r>
          </w:p>
        </w:tc>
      </w:tr>
    </w:tbl>
    <w:p>
      <w:pPr>
        <w:pStyle w:val="Heading2"/>
      </w:pPr>
      <w:r>
        <w:t>Strategic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399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rategy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SMART Strategic Recommendations</w:t>
      </w:r>
    </w:p>
    <w:p>
      <w:pPr>
        <w:pStyle w:val="Heading2"/>
      </w:pPr>
      <w:r>
        <w:t>CRITICAL: Adopt Aggressive Strategy</w:t>
      </w:r>
    </w:p>
    <w:p>
      <w:r>
        <w:t>Category: Strategic Direction</w:t>
      </w:r>
    </w:p>
    <w:p>
      <w:r>
        <w:t>Specific: Execute the Aggressive strategy for optimal NPV of $2.6B over 3 years.</w:t>
      </w:r>
    </w:p>
    <w:p>
      <w:r>
        <w:t>Measurable: Achieve $4.1B revenue and 28.0% margin by Year 3</w:t>
      </w:r>
    </w:p>
    <w:p>
      <w:r>
        <w:t>Achievable: Phased implementation with quarterly milestones and executive governance</w:t>
      </w:r>
    </w:p>
    <w:p>
      <w:r>
        <w:t>Relevant: Maximizes shareholder value and market position</w:t>
      </w:r>
    </w:p>
    <w:p>
      <w:r>
        <w:t>Timeline: 36 months with quarterly reviews</w:t>
      </w:r>
    </w:p>
    <w:p/>
    <w:p>
      <w:pPr>
        <w:pStyle w:val="Heading2"/>
      </w:pPr>
      <w:r>
        <w:t>HIGH: Launch Geographic Diversification</w:t>
      </w:r>
    </w:p>
    <w:p>
      <w:r>
        <w:t>Category: Market Expansion</w:t>
      </w:r>
    </w:p>
    <w:p>
      <w:r>
        <w:t>Specific: Expand into APAC and EMEA markets with localized product offerings.</w:t>
      </w:r>
    </w:p>
    <w:p>
      <w:r>
        <w:t>Measurable: Achieve 20%+ revenue from new markets by Year 3</w:t>
      </w:r>
    </w:p>
    <w:p>
      <w:r>
        <w:t>Achievable: Partner with regional distributors; establish regional hubs</w:t>
      </w:r>
    </w:p>
    <w:p>
      <w:r>
        <w:t>Relevant: De-risks portfolio and creates new revenue streams</w:t>
      </w:r>
    </w:p>
    <w:p>
      <w:r>
        <w:t>Timeline: 18-24 months to market presence</w:t>
      </w:r>
    </w:p>
    <w:p/>
    <w:p>
      <w:pPr>
        <w:pStyle w:val="Heading2"/>
      </w:pPr>
      <w:r>
        <w:t>HIGH: Accelerate AI/ML-Driven Product Development</w:t>
      </w:r>
    </w:p>
    <w:p>
      <w:r>
        <w:t>Category: Product Innovation</w:t>
      </w:r>
    </w:p>
    <w:p>
      <w:r>
        <w:t>Specific: Invest $30M in AI Risk Analytics and Portfolio Intelligence Platform.</w:t>
      </w:r>
    </w:p>
    <w:p>
      <w:r>
        <w:t>Measurable: Launch 3 new AI-driven products; achieve 25%+ revenue contribution by Year 3</w:t>
      </w:r>
    </w:p>
    <w:p>
      <w:r>
        <w:t>Achievable: In-house development + strategic partnerships; agile delivery</w:t>
      </w:r>
    </w:p>
    <w:p>
      <w:r>
        <w:t>Relevant: Strengthens competitive moat and premium pricing power</w:t>
      </w:r>
    </w:p>
    <w:p>
      <w:r>
        <w:t>Timeline: 18-24 months to GA</w:t>
      </w:r>
    </w:p>
    <w:p/>
    <w:p>
      <w:pPr>
        <w:pStyle w:val="Heading2"/>
      </w:pPr>
      <w:r>
        <w:t>MEDIUM: Implement Strategic Cost Optimization</w:t>
      </w:r>
    </w:p>
    <w:p>
      <w:r>
        <w:t>Category: Operational Excellence</w:t>
      </w:r>
    </w:p>
    <w:p>
      <w:r>
        <w:t>Specific: Target 10-15% operational cost reduction through automation and process optimization.</w:t>
      </w:r>
    </w:p>
    <w:p>
      <w:r>
        <w:t>Measurable: Increase margins by 200-300 basis points by Year 2</w:t>
      </w:r>
    </w:p>
    <w:p>
      <w:r>
        <w:t>Achievable: RPA implementation; offshore back-office functions; tech stack consolidation</w:t>
      </w:r>
    </w:p>
    <w:p>
      <w:r>
        <w:t>Relevant: Improves profitability and funds strategic investments</w:t>
      </w:r>
    </w:p>
    <w:p>
      <w:r>
        <w:t>Timeline: 24 months implementation</w:t>
      </w:r>
    </w:p>
    <w:p/>
    <w:p>
      <w:pPr>
        <w:pStyle w:val="Heading2"/>
      </w:pPr>
      <w:r>
        <w:t>MEDIUM: Establish Strategic Risk Oversight</w:t>
      </w:r>
    </w:p>
    <w:p>
      <w:r>
        <w:t>Category: Risk Management</w:t>
      </w:r>
    </w:p>
    <w:p>
      <w:r>
        <w:t>Specific: Create Chief Risk Officer role; implement quarterly strategic risk reviews.</w:t>
      </w:r>
    </w:p>
    <w:p>
      <w:r>
        <w:t>Measurable: Reduce unplanned risks by 50%; improve decision quality scores</w:t>
      </w:r>
    </w:p>
    <w:p>
      <w:r>
        <w:t>Achievable: Governance framework + tools + training</w:t>
      </w:r>
    </w:p>
    <w:p>
      <w:r>
        <w:t>Relevant: Protects shareholder value; ensures strategy resilience</w:t>
      </w:r>
    </w:p>
    <w:p>
      <w:r>
        <w:t>Timeline: Immediate implementation</w:t>
      </w:r>
    </w:p>
    <w:p/>
    <w:p>
      <w:pPr>
        <w:pStyle w:val="Heading1"/>
      </w:pPr>
      <w:r>
        <w:t>Strategic Implementation Roadmap</w:t>
      </w:r>
    </w:p>
    <w:p>
      <w:r>
        <w:t>The strategic plan will be executed in 5 concurrent workstreams over 36 months: strategy finalization (Q1), product development (Q1-Q4), market expansion (Q2-Q4), cost optimization (Q1-Q3), and capability building (Q1-Q2).</w:t>
      </w:r>
    </w:p>
    <w:p>
      <w:pPr>
        <w:pStyle w:val="Heading1"/>
      </w:pPr>
      <w:r>
        <w:t>Appendix: Technical Details</w:t>
      </w:r>
    </w:p>
    <w:p>
      <w:r>
        <w:t>Planning Horizon: 3 years</w:t>
      </w:r>
    </w:p>
    <w:p>
      <w:r>
        <w:t>Scenarios Modeled: 5 strategic alternatives</w:t>
      </w:r>
    </w:p>
    <w:p>
      <w:r>
        <w:t>Total Investment Required: $100M</w:t>
      </w:r>
    </w:p>
    <w:p>
      <w:r>
        <w:t>Expected ROI: 200-400% depending on scenario</w:t>
      </w:r>
    </w:p>
    <w:p>
      <w:r>
        <w:t>Framework: CRISP-DM with SMART recommendation methodology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